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w:t>
      </w:r>
      <w:permStart w:id="0" w:edGrp="everyone"/>
      <w:r>
        <w:rPr>
          <w:rFonts w:hint="eastAsia" w:ascii="黑体" w:hAnsi="黑体" w:eastAsia="黑体"/>
          <w:b/>
          <w:bCs/>
          <w:sz w:val="28"/>
          <w:szCs w:val="28"/>
        </w:rPr>
        <w:t>【稳添利最短持有期日开固收类】</w:t>
      </w:r>
      <w:permEnd w:id="0"/>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permStart w:id="1" w:edGrp="everyone"/>
      <w:r>
        <w:rPr>
          <w:rFonts w:hint="eastAsia" w:ascii="宋体" w:hAnsi="宋体" w:cs="仿宋_GB2312"/>
          <w:kern w:val="0"/>
          <w:sz w:val="18"/>
          <w:szCs w:val="18"/>
        </w:rPr>
        <w:t>【</w:t>
      </w:r>
      <w:r>
        <w:rPr>
          <w:rFonts w:hint="eastAsia" w:ascii="宋体" w:hAnsi="宋体"/>
          <w:sz w:val="18"/>
          <w:szCs w:val="18"/>
        </w:rPr>
        <w:t>兴银理财稳添利月盈14号(1个月最短持有期)日开固收类理财产品</w:t>
      </w:r>
      <w:r>
        <w:rPr>
          <w:rFonts w:hint="eastAsia" w:ascii="宋体" w:hAnsi="宋体" w:cs="仿宋_GB2312"/>
          <w:kern w:val="0"/>
          <w:sz w:val="18"/>
          <w:szCs w:val="18"/>
        </w:rPr>
        <w:t>】</w:t>
      </w:r>
      <w:permEnd w:id="1"/>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permStart w:id="2" w:edGrp="everyone"/>
      <w:r>
        <w:rPr>
          <w:rFonts w:hint="eastAsia" w:asciiTheme="majorEastAsia" w:hAnsiTheme="majorEastAsia" w:eastAsiaTheme="majorEastAsia"/>
          <w:bCs/>
          <w:kern w:val="0"/>
          <w:sz w:val="18"/>
          <w:szCs w:val="18"/>
        </w:rPr>
        <w:t>【</w:t>
      </w:r>
      <w:r>
        <w:rPr>
          <w:rFonts w:hint="eastAsia" w:ascii="宋体" w:hAnsi="宋体"/>
          <w:sz w:val="18"/>
          <w:szCs w:val="18"/>
        </w:rPr>
        <w:t>稳添利月盈14号B</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ascii="宋体" w:hAnsi="宋体" w:cs="仿宋_GB2312"/>
          <w:kern w:val="0"/>
          <w:sz w:val="18"/>
          <w:szCs w:val="18"/>
        </w:rPr>
        <w:t>B</w:t>
      </w:r>
      <w:r>
        <w:rPr>
          <w:rFonts w:hint="eastAsia" w:ascii="宋体" w:hAnsi="宋体" w:cs="仿宋_GB2312"/>
          <w:kern w:val="0"/>
          <w:sz w:val="18"/>
          <w:szCs w:val="18"/>
        </w:rPr>
        <w:t>】类份额）</w:t>
      </w:r>
      <w:permEnd w:id="2"/>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permStart w:id="3" w:edGrp="everyone"/>
      <w:r>
        <w:rPr>
          <w:rFonts w:hint="eastAsia" w:ascii="宋体" w:hAnsi="宋体" w:cs="仿宋_GB2312"/>
          <w:kern w:val="0"/>
          <w:sz w:val="18"/>
          <w:szCs w:val="18"/>
        </w:rPr>
        <w:t>【</w:t>
      </w:r>
      <w:r>
        <w:rPr>
          <w:rFonts w:hint="eastAsia" w:asciiTheme="minorEastAsia" w:hAnsiTheme="minorEastAsia"/>
          <w:sz w:val="18"/>
          <w:szCs w:val="18"/>
        </w:rPr>
        <w:t>Z7002023001451</w:t>
      </w:r>
      <w:r>
        <w:rPr>
          <w:rFonts w:hint="eastAsia" w:ascii="宋体" w:hAnsi="宋体" w:cs="仿宋_GB2312"/>
          <w:kern w:val="0"/>
          <w:sz w:val="18"/>
          <w:szCs w:val="18"/>
        </w:rPr>
        <w:t>】</w:t>
      </w:r>
      <w:permEnd w:id="3"/>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permStart w:id="4" w:edGrp="everyone"/>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w:t>
      </w:r>
      <w:permEnd w:id="4"/>
      <w:r>
        <w:rPr>
          <w:rFonts w:hint="eastAsia" w:ascii="宋体" w:hAnsi="宋体" w:cs="仿宋_GB2312"/>
          <w:kern w:val="0"/>
          <w:sz w:val="18"/>
          <w:szCs w:val="18"/>
        </w:rPr>
        <w:t>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permStart w:id="5" w:edGrp="everyone"/>
      <w:r>
        <w:rPr>
          <w:rFonts w:hint="eastAsia" w:ascii="宋体" w:hAnsi="宋体" w:cs="仿宋_GB2312"/>
          <w:kern w:val="0"/>
          <w:sz w:val="18"/>
          <w:szCs w:val="18"/>
        </w:rPr>
        <w:t>【无固定期限】</w:t>
      </w:r>
      <w:permEnd w:id="5"/>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permStart w:id="6" w:edGrp="everyone"/>
      <w:r>
        <w:rPr>
          <w:rFonts w:hint="eastAsia" w:ascii="宋体" w:hAnsi="宋体" w:cs="仿宋_GB2312"/>
          <w:kern w:val="0"/>
          <w:sz w:val="18"/>
          <w:szCs w:val="18"/>
        </w:rPr>
        <w:t>【R2</w:t>
      </w:r>
      <w:r>
        <w:rPr>
          <w:rFonts w:ascii="宋体" w:hAnsi="宋体" w:cs="仿宋_GB2312"/>
          <w:kern w:val="0"/>
          <w:sz w:val="18"/>
          <w:szCs w:val="18"/>
        </w:rPr>
        <w:t>】</w:t>
      </w:r>
      <w:permEnd w:id="6"/>
      <w:r>
        <w:rPr>
          <w:rFonts w:hint="eastAsia" w:ascii="宋体" w:hAnsi="宋体" w:cs="仿宋_GB2312"/>
          <w:kern w:val="0"/>
          <w:sz w:val="18"/>
          <w:szCs w:val="18"/>
        </w:rPr>
        <w:t>（产品管理人定义的产品风险评级为</w:t>
      </w:r>
      <w:permStart w:id="7" w:edGrp="everyone"/>
      <w:r>
        <w:rPr>
          <w:rFonts w:hint="eastAsia" w:ascii="宋体" w:hAnsi="宋体" w:cs="仿宋_GB2312"/>
          <w:kern w:val="0"/>
          <w:sz w:val="18"/>
          <w:szCs w:val="18"/>
        </w:rPr>
        <w:t>【R2</w:t>
      </w:r>
      <w:r>
        <w:rPr>
          <w:rFonts w:ascii="宋体" w:hAnsi="宋体" w:cs="仿宋_GB2312"/>
          <w:kern w:val="0"/>
          <w:sz w:val="18"/>
          <w:szCs w:val="18"/>
        </w:rPr>
        <w:t>】</w:t>
      </w:r>
      <w:permEnd w:id="7"/>
      <w:r>
        <w:rPr>
          <w:rFonts w:hint="eastAsia" w:ascii="宋体" w:hAnsi="宋体" w:cs="仿宋_GB2312"/>
          <w:kern w:val="0"/>
          <w:sz w:val="18"/>
          <w:szCs w:val="18"/>
        </w:rPr>
        <w:t>；代理销售机构定义的产品风险评级为</w:t>
      </w:r>
      <w:permStart w:id="8" w:edGrp="everyone"/>
      <w:r>
        <w:rPr>
          <w:rFonts w:hint="eastAsia" w:ascii="宋体" w:hAnsi="宋体" w:cs="仿宋_GB2312"/>
          <w:kern w:val="0"/>
          <w:sz w:val="18"/>
          <w:szCs w:val="18"/>
        </w:rPr>
        <w:t>【R2】</w:t>
      </w:r>
      <w:permEnd w:id="8"/>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permStart w:id="9" w:edGrp="everyone"/>
      <w:r>
        <w:rPr>
          <w:rFonts w:hint="eastAsia" w:asciiTheme="majorEastAsia" w:hAnsiTheme="majorEastAsia" w:eastAsiaTheme="majorEastAsia"/>
          <w:bCs/>
          <w:color w:val="000000" w:themeColor="text1"/>
          <w:sz w:val="18"/>
          <w:szCs w:val="18"/>
          <w14:textFill>
            <w14:solidFill>
              <w14:schemeClr w14:val="tx1"/>
            </w14:solidFill>
          </w14:textFill>
        </w:rPr>
        <w:t>■个人投资者：【■ CR1、■ CR2、■ CR3、■ CR4、■ CR5】。</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客户，□金融同业客户。</w:t>
      </w:r>
    </w:p>
    <w:permEnd w:id="9"/>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10"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ermEnd w:id="10"/>
    <w:p>
      <w:pPr>
        <w:pStyle w:val="14"/>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pStyle w:val="14"/>
        <w:ind w:firstLine="426" w:firstLineChars="0"/>
        <w:rPr>
          <w:rFonts w:ascii="宋体" w:hAnsi="宋体"/>
          <w:b/>
          <w:bCs/>
          <w:sz w:val="18"/>
          <w:szCs w:val="18"/>
        </w:rPr>
      </w:pPr>
      <w:r>
        <w:rPr>
          <w:rFonts w:hint="eastAsia" w:ascii="宋体" w:hAnsi="宋体"/>
          <w:b/>
          <w:bCs/>
          <w:sz w:val="18"/>
          <w:szCs w:val="18"/>
        </w:rPr>
        <w:t xml:space="preserve">（二）投资者投资本产品可能面临的一般风险主要包括（但不限于）： </w:t>
      </w:r>
    </w:p>
    <w:p>
      <w:pPr>
        <w:pStyle w:val="14"/>
        <w:ind w:firstLine="426" w:firstLineChars="0"/>
        <w:rPr>
          <w:rFonts w:ascii="宋体" w:hAnsi="宋体"/>
          <w:b/>
          <w:bCs/>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4"/>
        <w:ind w:firstLine="426" w:firstLineChars="0"/>
        <w:rPr>
          <w:rFonts w:ascii="宋体" w:hAnsi="宋体"/>
          <w:b/>
          <w:bCs/>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4"/>
        <w:ind w:firstLine="426" w:firstLineChars="0"/>
        <w:rPr>
          <w:rFonts w:ascii="宋体" w:hAnsi="宋体"/>
          <w:b/>
          <w:bCs/>
          <w:sz w:val="18"/>
          <w:szCs w:val="18"/>
        </w:rPr>
      </w:pPr>
      <w:r>
        <w:rPr>
          <w:rFonts w:hint="eastAsia" w:ascii="宋体" w:hAnsi="宋体"/>
          <w:b/>
          <w:bCs/>
          <w:sz w:val="18"/>
          <w:szCs w:val="18"/>
        </w:rPr>
        <w:t>3.市场</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p>
    <w:p>
      <w:pPr>
        <w:pStyle w:val="14"/>
        <w:ind w:firstLine="426" w:firstLineChars="0"/>
        <w:rPr>
          <w:rFonts w:ascii="宋体" w:hAnsi="宋体" w:cs="仿宋_GB2312"/>
          <w:bCs/>
          <w:kern w:val="0"/>
          <w:sz w:val="18"/>
          <w:szCs w:val="18"/>
        </w:rPr>
      </w:pP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4"/>
        <w:ind w:firstLine="426" w:firstLineChars="0"/>
        <w:rPr>
          <w:rFonts w:ascii="宋体" w:hAnsi="宋体"/>
          <w:b/>
          <w:bCs/>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终止</w:t>
      </w:r>
      <w:r>
        <w:rPr>
          <w:rFonts w:ascii="宋体" w:hAnsi="宋体"/>
          <w:b/>
          <w:bCs/>
          <w:sz w:val="18"/>
          <w:szCs w:val="18"/>
        </w:rPr>
        <w:t>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4"/>
        <w:ind w:firstLine="426" w:firstLineChars="0"/>
        <w:rPr>
          <w:rFonts w:ascii="宋体" w:hAnsi="宋体" w:cs="仿宋_GB2312"/>
          <w:b/>
          <w:kern w:val="0"/>
          <w:sz w:val="18"/>
          <w:szCs w:val="18"/>
        </w:rPr>
      </w:pPr>
      <w:r>
        <w:rPr>
          <w:rFonts w:hint="eastAsia" w:ascii="宋体" w:hAnsi="宋体" w:cs="仿宋_GB2312"/>
          <w:b/>
          <w:kern w:val="0"/>
          <w:sz w:val="18"/>
          <w:szCs w:val="18"/>
        </w:rPr>
        <w:t>7.</w:t>
      </w:r>
      <w:r>
        <w:rPr>
          <w:rFonts w:ascii="宋体" w:hAnsi="宋体" w:cs="仿宋_GB2312"/>
          <w:b/>
          <w:kern w:val="0"/>
          <w:sz w:val="18"/>
          <w:szCs w:val="18"/>
        </w:rPr>
        <w:t>提前终止风险</w:t>
      </w:r>
    </w:p>
    <w:p>
      <w:pPr>
        <w:pStyle w:val="14"/>
        <w:ind w:firstLine="426" w:firstLineChars="0"/>
        <w:rPr>
          <w:rFonts w:ascii="宋体" w:hAnsi="宋体" w:cs="仿宋_GB2312"/>
          <w:kern w:val="0"/>
          <w:sz w:val="18"/>
          <w:szCs w:val="18"/>
        </w:rPr>
      </w:pPr>
      <w:r>
        <w:rPr>
          <w:rFonts w:hint="eastAsia" w:ascii="宋体" w:hAnsi="宋体" w:cs="仿宋_GB2312"/>
          <w:kern w:val="0"/>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pStyle w:val="14"/>
        <w:ind w:firstLine="426" w:firstLineChars="0"/>
        <w:rPr>
          <w:rFonts w:ascii="黑体" w:hAnsi="黑体" w:eastAsia="黑体" w:cs="黑体"/>
          <w:b/>
          <w:bCs/>
          <w:sz w:val="18"/>
          <w:szCs w:val="18"/>
        </w:rPr>
      </w:pPr>
      <w:r>
        <w:rPr>
          <w:rFonts w:hint="eastAsia" w:ascii="黑体" w:hAnsi="黑体" w:eastAsia="黑体" w:cs="黑体"/>
          <w:b/>
          <w:bCs/>
          <w:sz w:val="18"/>
          <w:szCs w:val="18"/>
        </w:rPr>
        <w:t>8.</w:t>
      </w:r>
      <w:r>
        <w:rPr>
          <w:rFonts w:hint="eastAsia" w:ascii="黑体" w:hAnsi="黑体" w:eastAsia="黑体" w:cs="黑体"/>
          <w:sz w:val="18"/>
          <w:szCs w:val="18"/>
        </w:rPr>
        <w:t>★</w:t>
      </w:r>
      <w:r>
        <w:rPr>
          <w:rFonts w:hint="eastAsia" w:ascii="黑体" w:hAnsi="黑体" w:eastAsia="黑体" w:cs="黑体"/>
          <w:b/>
          <w:bCs/>
          <w:sz w:val="18"/>
          <w:szCs w:val="18"/>
        </w:rPr>
        <w:t>信息传递风险</w:t>
      </w:r>
    </w:p>
    <w:p>
      <w:pPr>
        <w:pStyle w:val="14"/>
        <w:ind w:firstLine="426" w:firstLineChars="0"/>
        <w:rPr>
          <w:rFonts w:ascii="黑体" w:hAnsi="黑体" w:eastAsia="黑体" w:cs="黑体"/>
          <w:kern w:val="0"/>
          <w:sz w:val="18"/>
          <w:szCs w:val="18"/>
        </w:rPr>
      </w:pPr>
      <w:r>
        <w:rPr>
          <w:rFonts w:hint="eastAsia" w:ascii="黑体" w:hAnsi="黑体" w:eastAsia="黑体" w:cs="黑体"/>
          <w:kern w:val="0"/>
          <w:sz w:val="18"/>
          <w:szCs w:val="18"/>
        </w:rPr>
        <w:t>投资者需要通过约定的信息披露渠道了解产品相关信息公告。具体公告方式以理财产品销售文件所载明的公告方式为准。投资者应根据本产品说明书所载明的公告方式及时查询本理财产品的相关信息。如果投资者未及时查询，或由于通讯故障、系统故障以及其他不可抗力等因素的影响使得投资者无法及时了解产品信息，由此而产生的责任和风险由投资者自行承担。如投资者预留的有效联系方式变更但未及时告知产品管理人的，致使在需要联系投资者时无法及时联系并可能会由此影响投资者的投资决策，由此而产生的责任和风险由投资者自行承担。</w:t>
      </w:r>
    </w:p>
    <w:p>
      <w:pPr>
        <w:ind w:firstLine="361" w:firstLineChars="200"/>
        <w:rPr>
          <w:rFonts w:ascii="宋体" w:hAnsi="宋体"/>
          <w:b/>
          <w:bCs/>
          <w:sz w:val="18"/>
          <w:szCs w:val="18"/>
        </w:rPr>
      </w:pPr>
      <w:r>
        <w:rPr>
          <w:rFonts w:hint="eastAsia" w:ascii="宋体" w:hAnsi="宋体"/>
          <w:b/>
          <w:bCs/>
          <w:sz w:val="18"/>
          <w:szCs w:val="18"/>
        </w:rPr>
        <w:t>9.</w:t>
      </w:r>
      <w:r>
        <w:rPr>
          <w:rFonts w:ascii="宋体" w:hAnsi="宋体"/>
          <w:b/>
          <w:bCs/>
          <w:sz w:val="18"/>
          <w:szCs w:val="18"/>
        </w:rPr>
        <w:t>不可抗力及意外事件风险</w:t>
      </w:r>
    </w:p>
    <w:p>
      <w:pPr>
        <w:ind w:firstLine="360" w:firstLineChars="200"/>
        <w:rPr>
          <w:rFonts w:ascii="宋体" w:hAnsi="宋体"/>
          <w:bCs/>
          <w:sz w:val="18"/>
          <w:szCs w:val="18"/>
        </w:rPr>
      </w:pPr>
      <w:r>
        <w:rPr>
          <w:rFonts w:hint="eastAsia" w:ascii="宋体" w:hAnsi="宋体"/>
          <w:bCs/>
          <w:sz w:val="18"/>
          <w:szCs w:val="18"/>
        </w:rPr>
        <w:t>因战争、自然灾害、重大政治事件等不可抗力以及其他不可预见的意外事件可能致使理财产品面临损失的风险。</w:t>
      </w:r>
    </w:p>
    <w:p>
      <w:pPr>
        <w:pStyle w:val="14"/>
        <w:ind w:firstLine="361"/>
        <w:rPr>
          <w:rFonts w:ascii="宋体" w:hAnsi="宋体"/>
          <w:b/>
          <w:bCs/>
          <w:sz w:val="18"/>
          <w:szCs w:val="18"/>
        </w:rPr>
      </w:pPr>
      <w:r>
        <w:rPr>
          <w:rFonts w:hint="eastAsia" w:ascii="宋体" w:hAnsi="宋体"/>
          <w:b/>
          <w:bCs/>
          <w:sz w:val="18"/>
          <w:szCs w:val="18"/>
        </w:rPr>
        <w:t>10.</w:t>
      </w:r>
      <w:r>
        <w:rPr>
          <w:rFonts w:ascii="宋体" w:hAnsi="宋体"/>
          <w:b/>
          <w:bCs/>
          <w:sz w:val="18"/>
          <w:szCs w:val="18"/>
        </w:rPr>
        <w:t>管理人风险</w:t>
      </w:r>
    </w:p>
    <w:p>
      <w:pPr>
        <w:pStyle w:val="14"/>
        <w:ind w:firstLine="360"/>
        <w:rPr>
          <w:rFonts w:ascii="宋体" w:hAnsi="宋体"/>
          <w:bCs/>
          <w:sz w:val="18"/>
          <w:szCs w:val="18"/>
        </w:rPr>
      </w:pP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1.理财产品不成立风险</w:t>
      </w:r>
    </w:p>
    <w:p>
      <w:pPr>
        <w:pStyle w:val="14"/>
        <w:ind w:firstLine="360"/>
        <w:rPr>
          <w:rFonts w:ascii="宋体" w:hAnsi="宋体"/>
          <w:bCs/>
          <w:sz w:val="18"/>
          <w:szCs w:val="18"/>
        </w:rPr>
      </w:pP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p>
    <w:p>
      <w:pPr>
        <w:pStyle w:val="14"/>
        <w:ind w:firstLine="360"/>
        <w:rPr>
          <w:rFonts w:ascii="宋体" w:hAnsi="宋体"/>
          <w:bCs/>
          <w:sz w:val="18"/>
          <w:szCs w:val="18"/>
        </w:rPr>
      </w:pP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p>
    <w:p>
      <w:pPr>
        <w:pStyle w:val="14"/>
        <w:ind w:firstLine="360"/>
        <w:rPr>
          <w:rFonts w:ascii="宋体" w:hAnsi="宋体"/>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当前述资产管理产品计提业绩报酬时，本理财产品的产品份额净值存在下跌的风险。</w:t>
      </w:r>
    </w:p>
    <w:p>
      <w:pPr>
        <w:pStyle w:val="14"/>
        <w:ind w:firstLine="361"/>
        <w:rPr>
          <w:rFonts w:ascii="宋体" w:hAnsi="宋体"/>
          <w:b/>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p>
    <w:p>
      <w:pPr>
        <w:pStyle w:val="14"/>
        <w:ind w:firstLine="360"/>
        <w:rPr>
          <w:rFonts w:ascii="宋体" w:hAnsi="宋体"/>
          <w:bCs/>
          <w:sz w:val="18"/>
          <w:szCs w:val="18"/>
        </w:rPr>
      </w:pP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14"/>
        <w:ind w:firstLine="361"/>
        <w:rPr>
          <w:rFonts w:ascii="黑体" w:hAnsi="黑体" w:eastAsia="黑体" w:cs="黑体"/>
          <w:b/>
          <w:bCs/>
          <w:sz w:val="18"/>
          <w:szCs w:val="18"/>
        </w:rPr>
      </w:pPr>
      <w:r>
        <w:rPr>
          <w:rFonts w:hint="eastAsia" w:ascii="黑体" w:hAnsi="黑体" w:eastAsia="黑体" w:cs="黑体"/>
          <w:b/>
          <w:bCs/>
          <w:sz w:val="18"/>
          <w:szCs w:val="18"/>
        </w:rPr>
        <w:t>15.</w:t>
      </w:r>
      <w:r>
        <w:rPr>
          <w:rFonts w:hint="eastAsia" w:ascii="黑体" w:hAnsi="黑体" w:eastAsia="黑体" w:cs="黑体"/>
          <w:sz w:val="18"/>
          <w:szCs w:val="18"/>
        </w:rPr>
        <w:t>★</w:t>
      </w:r>
      <w:r>
        <w:rPr>
          <w:rFonts w:hint="eastAsia" w:ascii="黑体" w:hAnsi="黑体" w:eastAsia="黑体" w:cs="黑体"/>
          <w:b/>
          <w:bCs/>
          <w:sz w:val="18"/>
          <w:szCs w:val="18"/>
        </w:rPr>
        <w:t>代销风险</w:t>
      </w:r>
    </w:p>
    <w:p>
      <w:pPr>
        <w:pStyle w:val="14"/>
        <w:ind w:firstLine="360"/>
        <w:rPr>
          <w:rFonts w:ascii="黑体" w:hAnsi="黑体" w:eastAsia="黑体" w:cs="黑体"/>
          <w:bCs/>
          <w:sz w:val="18"/>
          <w:szCs w:val="18"/>
        </w:rPr>
      </w:pPr>
      <w:r>
        <w:rPr>
          <w:rFonts w:hint="eastAsia" w:ascii="黑体" w:hAnsi="黑体" w:eastAsia="黑体" w:cs="黑体"/>
          <w:bCs/>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276" w:lineRule="auto"/>
        <w:ind w:firstLine="361" w:firstLineChars="200"/>
        <w:rPr>
          <w:rFonts w:ascii="黑体" w:hAnsi="黑体" w:eastAsia="黑体" w:cs="仿宋_GB2312"/>
          <w:b/>
          <w:bCs/>
          <w:kern w:val="0"/>
          <w:sz w:val="18"/>
          <w:szCs w:val="18"/>
        </w:rPr>
      </w:pPr>
      <w:r>
        <w:rPr>
          <w:rFonts w:ascii="黑体" w:hAnsi="黑体" w:eastAsia="黑体"/>
          <w:b/>
          <w:bCs/>
          <w:sz w:val="18"/>
          <w:szCs w:val="18"/>
        </w:rPr>
        <w:t>1</w:t>
      </w:r>
      <w:r>
        <w:rPr>
          <w:rFonts w:hint="eastAsia" w:ascii="黑体" w:hAnsi="黑体" w:eastAsia="黑体"/>
          <w:b/>
          <w:bCs/>
          <w:sz w:val="18"/>
          <w:szCs w:val="18"/>
        </w:rPr>
        <w:t>6</w:t>
      </w:r>
      <w:r>
        <w:rPr>
          <w:rFonts w:ascii="黑体" w:hAnsi="黑体" w:eastAsia="黑体"/>
          <w:b/>
          <w:bCs/>
          <w:sz w:val="18"/>
          <w:szCs w:val="18"/>
        </w:rPr>
        <w:t>.</w:t>
      </w:r>
      <w:r>
        <w:rPr>
          <w:rFonts w:hint="eastAsia" w:ascii="黑体" w:hAnsi="黑体" w:eastAsia="黑体" w:cs="仿宋_GB2312"/>
          <w:b/>
          <w:bCs/>
          <w:kern w:val="0"/>
          <w:sz w:val="18"/>
          <w:szCs w:val="18"/>
        </w:rPr>
        <w:t>★不同理财产品份额类别存在差异的风险</w:t>
      </w:r>
    </w:p>
    <w:p>
      <w:pPr>
        <w:spacing w:line="276" w:lineRule="auto"/>
        <w:ind w:firstLine="360" w:firstLineChars="200"/>
        <w:rPr>
          <w:rFonts w:ascii="黑体" w:hAnsi="黑体" w:eastAsia="黑体"/>
          <w:sz w:val="18"/>
          <w:szCs w:val="18"/>
        </w:rPr>
      </w:pP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等因素，对理财投资者所持有的理财产品设置不同理财产品份额类别。不同类别的理财产品份额可能在销售名称、收费方式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投资者认购申购和赎回的数量限制、投资者持有本产品的最高限额最低限额、计算和公告产品份额净值方面存在差异。</w:t>
      </w:r>
    </w:p>
    <w:p>
      <w:pPr>
        <w:pStyle w:val="14"/>
        <w:ind w:firstLineChars="0"/>
        <w:rPr>
          <w:rFonts w:ascii="宋体" w:hAnsi="宋体"/>
          <w:b/>
          <w:bCs/>
          <w:sz w:val="18"/>
          <w:szCs w:val="18"/>
        </w:rPr>
      </w:pPr>
      <w:r>
        <w:rPr>
          <w:rFonts w:hint="eastAsia" w:ascii="宋体" w:hAnsi="宋体"/>
          <w:b/>
          <w:bCs/>
          <w:sz w:val="18"/>
          <w:szCs w:val="18"/>
        </w:rPr>
        <w:t>17.关联交易风险</w:t>
      </w:r>
    </w:p>
    <w:p>
      <w:pPr>
        <w:pStyle w:val="14"/>
        <w:ind w:firstLineChars="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关系仍可能产生不利影响和投资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（三）</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五、【非机构投资者适用】</w:t>
      </w:r>
      <w:r>
        <w:rPr>
          <w:rFonts w:hint="eastAsia" w:ascii="宋体" w:hAnsi="宋体" w:cs="仿宋_GB2312"/>
          <w:kern w:val="0"/>
          <w:sz w:val="18"/>
          <w:szCs w:val="18"/>
        </w:rPr>
        <w:t>《投资者风险承受能力评估问卷》用于评估非机构投资者对金融工具及投资目标的相关风险的态度。非机构投资者可根据评估结果确定所属投资者类型，购买适合的理财产品。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如影响您风险承受能力的因素发生变化，请您及时重新完成风险承受能力评估。其他类型投资者的风险承受能力评估按照《（代理）销售协议书》约定或销售机构的销售政策执行。</w:t>
      </w:r>
    </w:p>
    <w:p>
      <w:pPr>
        <w:autoSpaceDE w:val="0"/>
        <w:autoSpaceDN w:val="0"/>
        <w:adjustRightInd w:val="0"/>
        <w:ind w:firstLine="420"/>
        <w:jc w:val="left"/>
        <w:rPr>
          <w:rFonts w:ascii="黑体" w:hAnsi="黑体" w:eastAsia="黑体" w:cs="仿宋_GB2312"/>
          <w:kern w:val="0"/>
          <w:sz w:val="18"/>
          <w:szCs w:val="18"/>
        </w:rPr>
      </w:pPr>
      <w:r>
        <w:rPr>
          <w:rFonts w:hint="eastAsia" w:ascii="黑体" w:hAnsi="黑体" w:eastAsia="黑体"/>
          <w:bCs/>
          <w:sz w:val="18"/>
          <w:szCs w:val="18"/>
        </w:rPr>
        <w:t>六、【产品风险评级为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的理财产品适用】当销售机构销售产品风险评级为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w:t>
      </w:r>
      <w:r>
        <w:rPr>
          <w:rFonts w:hint="eastAsia" w:ascii="黑体" w:hAnsi="黑体" w:eastAsia="黑体" w:cs="仿宋_GB2312"/>
          <w:kern w:val="0"/>
          <w:sz w:val="18"/>
          <w:szCs w:val="18"/>
        </w:rPr>
        <w:t>您签署本销售文件即视为您同意销售机构可以通过线上渠道向您销售产品风险评级为R4及以上的理财产品。</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permStart w:id="11" w:edGrp="everyone"/>
      <w:r>
        <w:rPr>
          <w:rFonts w:hint="eastAsia" w:ascii="宋体" w:hAnsi="宋体"/>
          <w:sz w:val="18"/>
          <w:szCs w:val="18"/>
        </w:rPr>
        <w:t>销售机构（【华夏银行股份有限公司】）</w:t>
      </w:r>
    </w:p>
    <w:permEnd w:id="11"/>
    <w:p>
      <w:pPr>
        <w:widowControl/>
        <w:jc w:val="left"/>
        <w:rPr>
          <w:rFonts w:ascii="宋体" w:hAnsi="宋体"/>
          <w:sz w:val="18"/>
          <w:szCs w:val="18"/>
        </w:rPr>
      </w:pPr>
      <w:r>
        <w:rPr>
          <w:rFonts w:ascii="宋体" w:hAnsi="宋体"/>
          <w:sz w:val="18"/>
          <w:szCs w:val="18"/>
        </w:rPr>
        <w:br w:type="page"/>
      </w:r>
      <w:bookmarkStart w:id="0" w:name="_GoBack"/>
      <w:bookmarkEnd w:id="0"/>
    </w:p>
    <w:p>
      <w:pPr>
        <w:ind w:left="540"/>
        <w:jc w:val="right"/>
        <w:rPr>
          <w:rFonts w:ascii="宋体" w:hAnsi="宋体"/>
          <w:sz w:val="18"/>
          <w:szCs w:val="18"/>
        </w:rPr>
      </w:pPr>
    </w:p>
    <w:p>
      <w:pPr>
        <w:ind w:left="540"/>
        <w:jc w:val="right"/>
        <w:rPr>
          <w:rFonts w:ascii="宋体" w:hAnsi="宋体"/>
          <w:sz w:val="18"/>
          <w:szCs w:val="18"/>
        </w:rPr>
      </w:pPr>
    </w:p>
    <w:tbl>
      <w:tblPr>
        <w:tblStyle w:val="8"/>
        <w:tblW w:w="0" w:type="auto"/>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footerReference r:id="rId4" w:type="default"/>
      <w:pgSz w:w="11906" w:h="16838"/>
      <w:pgMar w:top="1440" w:right="1800" w:bottom="1440" w:left="1800" w:header="567" w:footer="96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2492923"/>
    </w:sdtPr>
    <w:sdtContent>
      <w:p>
        <w:pPr>
          <w:pStyle w:val="4"/>
          <w:jc w:val="center"/>
        </w:pPr>
        <w:r>
          <w:fldChar w:fldCharType="begin"/>
        </w:r>
        <w:r>
          <w:instrText xml:space="preserve">PAGE   \* MERGEFORMAT</w:instrText>
        </w:r>
        <w:r>
          <w:fldChar w:fldCharType="separate"/>
        </w:r>
        <w:r>
          <w:rPr>
            <w:lang w:val="zh-CN"/>
          </w:rPr>
          <w:t>1</w:t>
        </w:r>
        <w:r>
          <w:fldChar w:fldCharType="end"/>
        </w:r>
      </w:p>
    </w:sdtContent>
  </w:sdt>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宋体" w:cs="Times New Roman"/>
        <w:b/>
        <w:szCs w:val="20"/>
      </w:rPr>
    </w:pPr>
    <w:r>
      <w:rPr>
        <w:rFonts w:hint="eastAsia" w:ascii="Times New Roman" w:hAnsi="Times New Roman" w:eastAsia="宋体" w:cs="Times New Roman"/>
        <w:b/>
        <w:szCs w:val="20"/>
      </w:rPr>
      <w:t>风险揭示书</w:t>
    </w:r>
  </w:p>
  <w:p>
    <w:pPr>
      <w:pStyle w:val="5"/>
      <w:jc w:val="right"/>
      <w:rPr>
        <w:rFonts w:ascii="Times New Roman" w:hAnsi="Times New Roman" w:eastAsia="宋体" w:cs="Times New Roman"/>
        <w:b/>
        <w:szCs w:val="20"/>
      </w:rPr>
    </w:pPr>
    <w:r>
      <w:rPr>
        <w:rFonts w:ascii="Times New Roman" w:hAnsi="Times New Roman" w:eastAsia="宋体" w:cs="Times New Roman"/>
        <w:b/>
        <w:szCs w:val="20"/>
      </w:rPr>
      <w:t>注</w:t>
    </w:r>
    <w:r>
      <w:rPr>
        <w:rFonts w:hint="eastAsia" w:ascii="Times New Roman" w:hAnsi="Times New Roman" w:eastAsia="宋体" w:cs="Times New Roman"/>
        <w:b/>
        <w:szCs w:val="20"/>
      </w:rPr>
      <w:t>：</w:t>
    </w:r>
    <w:r>
      <w:rPr>
        <w:rFonts w:ascii="Times New Roman" w:hAnsi="Times New Roman" w:eastAsia="宋体" w:cs="Times New Roman"/>
        <w:b/>
        <w:szCs w:val="20"/>
      </w:rP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Me96IdT+20cAJ4S6jvgjdmGNJLrWN5B6ICPCYQLoFsEUbuOy/Nvw/lQTlJL/do8J/ixgicWpmlHjBCkYLKK9TQ==" w:salt="V6Em+dTLVzmZObYxSYlsMw=="/>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563E8F"/>
    <w:rsid w:val="0006211F"/>
    <w:rsid w:val="00096AC8"/>
    <w:rsid w:val="000A244A"/>
    <w:rsid w:val="000B16F1"/>
    <w:rsid w:val="000B357F"/>
    <w:rsid w:val="000B3F0D"/>
    <w:rsid w:val="000B7F9A"/>
    <w:rsid w:val="000F0566"/>
    <w:rsid w:val="000F1948"/>
    <w:rsid w:val="001104E8"/>
    <w:rsid w:val="00152999"/>
    <w:rsid w:val="001703D6"/>
    <w:rsid w:val="00180310"/>
    <w:rsid w:val="001C3531"/>
    <w:rsid w:val="001C5047"/>
    <w:rsid w:val="002059D5"/>
    <w:rsid w:val="002160F9"/>
    <w:rsid w:val="002354DB"/>
    <w:rsid w:val="00262560"/>
    <w:rsid w:val="002B4BDD"/>
    <w:rsid w:val="002B63FC"/>
    <w:rsid w:val="002C604E"/>
    <w:rsid w:val="002F0B15"/>
    <w:rsid w:val="00341E6C"/>
    <w:rsid w:val="00346ED2"/>
    <w:rsid w:val="00350D67"/>
    <w:rsid w:val="00374070"/>
    <w:rsid w:val="00386006"/>
    <w:rsid w:val="003E0BB7"/>
    <w:rsid w:val="003E1A68"/>
    <w:rsid w:val="003F1C32"/>
    <w:rsid w:val="003F4FCA"/>
    <w:rsid w:val="00403B0A"/>
    <w:rsid w:val="00420D74"/>
    <w:rsid w:val="00432923"/>
    <w:rsid w:val="0045040F"/>
    <w:rsid w:val="00466605"/>
    <w:rsid w:val="004A236B"/>
    <w:rsid w:val="004B4026"/>
    <w:rsid w:val="004C3608"/>
    <w:rsid w:val="004C7F5E"/>
    <w:rsid w:val="00510BA5"/>
    <w:rsid w:val="00527A03"/>
    <w:rsid w:val="00563E8F"/>
    <w:rsid w:val="005804B9"/>
    <w:rsid w:val="005A0DD9"/>
    <w:rsid w:val="005C6FCB"/>
    <w:rsid w:val="005C764B"/>
    <w:rsid w:val="005F48BE"/>
    <w:rsid w:val="00640FDE"/>
    <w:rsid w:val="006538E1"/>
    <w:rsid w:val="00692C1D"/>
    <w:rsid w:val="007143CD"/>
    <w:rsid w:val="00724054"/>
    <w:rsid w:val="007303F6"/>
    <w:rsid w:val="00732C8C"/>
    <w:rsid w:val="007A4C26"/>
    <w:rsid w:val="007B017F"/>
    <w:rsid w:val="007C7189"/>
    <w:rsid w:val="007D142B"/>
    <w:rsid w:val="0080662E"/>
    <w:rsid w:val="00836C1F"/>
    <w:rsid w:val="00863974"/>
    <w:rsid w:val="008825E3"/>
    <w:rsid w:val="0088635D"/>
    <w:rsid w:val="00894EE6"/>
    <w:rsid w:val="008A707D"/>
    <w:rsid w:val="008D3E86"/>
    <w:rsid w:val="008F2B54"/>
    <w:rsid w:val="00906E57"/>
    <w:rsid w:val="00916DD2"/>
    <w:rsid w:val="0093321F"/>
    <w:rsid w:val="00955293"/>
    <w:rsid w:val="00981E5B"/>
    <w:rsid w:val="009B13AF"/>
    <w:rsid w:val="00A30306"/>
    <w:rsid w:val="00A82FF9"/>
    <w:rsid w:val="00A95D0C"/>
    <w:rsid w:val="00A96F7E"/>
    <w:rsid w:val="00AC2EB8"/>
    <w:rsid w:val="00AE5AA3"/>
    <w:rsid w:val="00B06267"/>
    <w:rsid w:val="00B07DEF"/>
    <w:rsid w:val="00B35D81"/>
    <w:rsid w:val="00B3723D"/>
    <w:rsid w:val="00B53014"/>
    <w:rsid w:val="00BB513F"/>
    <w:rsid w:val="00BC0865"/>
    <w:rsid w:val="00BC1259"/>
    <w:rsid w:val="00BC2076"/>
    <w:rsid w:val="00BC398E"/>
    <w:rsid w:val="00BD2495"/>
    <w:rsid w:val="00BE1A3A"/>
    <w:rsid w:val="00C01696"/>
    <w:rsid w:val="00C04CE6"/>
    <w:rsid w:val="00C4233D"/>
    <w:rsid w:val="00CA5199"/>
    <w:rsid w:val="00CF693D"/>
    <w:rsid w:val="00D03CCD"/>
    <w:rsid w:val="00D33509"/>
    <w:rsid w:val="00D33FC9"/>
    <w:rsid w:val="00D46533"/>
    <w:rsid w:val="00D61355"/>
    <w:rsid w:val="00D91389"/>
    <w:rsid w:val="00DA2C69"/>
    <w:rsid w:val="00DD246D"/>
    <w:rsid w:val="00DD5ABC"/>
    <w:rsid w:val="00DE3630"/>
    <w:rsid w:val="00E163B9"/>
    <w:rsid w:val="00E27A39"/>
    <w:rsid w:val="00E31C01"/>
    <w:rsid w:val="00E504DE"/>
    <w:rsid w:val="00E767F1"/>
    <w:rsid w:val="00E80603"/>
    <w:rsid w:val="00EA3FCD"/>
    <w:rsid w:val="00EB34F9"/>
    <w:rsid w:val="00EC5B4C"/>
    <w:rsid w:val="00EE5255"/>
    <w:rsid w:val="00F01580"/>
    <w:rsid w:val="00F1747E"/>
    <w:rsid w:val="00F34E57"/>
    <w:rsid w:val="00F4426B"/>
    <w:rsid w:val="00F57B20"/>
    <w:rsid w:val="00F8077D"/>
    <w:rsid w:val="00FA5993"/>
    <w:rsid w:val="00FD7473"/>
    <w:rsid w:val="05DA1F45"/>
    <w:rsid w:val="09350EBD"/>
    <w:rsid w:val="0E615D48"/>
    <w:rsid w:val="1D9858FD"/>
    <w:rsid w:val="23024B39"/>
    <w:rsid w:val="24C45C6C"/>
    <w:rsid w:val="457B7294"/>
    <w:rsid w:val="48045529"/>
    <w:rsid w:val="601969DF"/>
    <w:rsid w:val="70330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6"/>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22"/>
    <w:rPr>
      <w:b/>
      <w:bCs/>
    </w:rPr>
  </w:style>
  <w:style w:type="character" w:styleId="11">
    <w:name w:val="annotation reference"/>
    <w:basedOn w:val="9"/>
    <w:unhideWhenUsed/>
    <w:qFormat/>
    <w:uiPriority w:val="99"/>
    <w:rPr>
      <w:sz w:val="21"/>
      <w:szCs w:val="21"/>
    </w:rPr>
  </w:style>
  <w:style w:type="character" w:customStyle="1" w:styleId="12">
    <w:name w:val="页眉 Char"/>
    <w:basedOn w:val="9"/>
    <w:link w:val="5"/>
    <w:qFormat/>
    <w:uiPriority w:val="99"/>
    <w:rPr>
      <w:sz w:val="18"/>
      <w:szCs w:val="18"/>
    </w:rPr>
  </w:style>
  <w:style w:type="character" w:customStyle="1" w:styleId="13">
    <w:name w:val="页脚 Char"/>
    <w:basedOn w:val="9"/>
    <w:link w:val="4"/>
    <w:qFormat/>
    <w:uiPriority w:val="99"/>
    <w:rPr>
      <w:sz w:val="18"/>
      <w:szCs w:val="18"/>
    </w:rPr>
  </w:style>
  <w:style w:type="paragraph" w:styleId="14">
    <w:name w:val="List Paragraph"/>
    <w:basedOn w:val="1"/>
    <w:qFormat/>
    <w:uiPriority w:val="0"/>
    <w:pPr>
      <w:ind w:firstLine="420" w:firstLineChars="200"/>
    </w:pPr>
  </w:style>
  <w:style w:type="character" w:customStyle="1" w:styleId="15">
    <w:name w:val="批注文字 Char"/>
    <w:basedOn w:val="9"/>
    <w:link w:val="2"/>
    <w:qFormat/>
    <w:uiPriority w:val="99"/>
    <w:rPr>
      <w:rFonts w:ascii="Calibri" w:hAnsi="Calibri" w:eastAsia="宋体" w:cs="宋体"/>
    </w:rPr>
  </w:style>
  <w:style w:type="character" w:customStyle="1" w:styleId="16">
    <w:name w:val="批注主题 Char"/>
    <w:basedOn w:val="15"/>
    <w:link w:val="6"/>
    <w:semiHidden/>
    <w:qFormat/>
    <w:uiPriority w:val="99"/>
    <w:rPr>
      <w:rFonts w:ascii="Calibri" w:hAnsi="Calibri" w:eastAsia="宋体" w:cs="宋体"/>
      <w:b/>
      <w:bCs/>
    </w:rPr>
  </w:style>
  <w:style w:type="character" w:customStyle="1" w:styleId="17">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395987-0512-4962-A3BE-C3D7B3CDABA3}">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7</Pages>
  <Words>817</Words>
  <Characters>4663</Characters>
  <Lines>38</Lines>
  <Paragraphs>10</Paragraphs>
  <TotalTime>1</TotalTime>
  <ScaleCrop>false</ScaleCrop>
  <LinksUpToDate>false</LinksUpToDate>
  <CharactersWithSpaces>5470</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2023-10-31T16:05:00Z</dcterms:created>
  <dc:creator>胡骁潇</dc:creator>
  <cp:lastModifiedBy>cib</cp:lastModifiedBy>
  <dcterms:modified xsi:type="dcterms:W3CDTF">2024-11-11T09:56:02Z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8C3451F4A9D547188BD69B541900499D</vt:lpwstr>
  </property>
</Properties>
</file>