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华夏理财悦嘉封闭式理财产品</w:t>
      </w:r>
      <w:r>
        <w:rPr>
          <w:rFonts w:hint="eastAsia" w:eastAsia="黑体"/>
          <w:bCs/>
          <w:sz w:val="36"/>
          <w:szCs w:val="36"/>
          <w:lang w:val="en-US" w:eastAsia="zh-CN"/>
        </w:rPr>
        <w:t>6</w:t>
      </w:r>
      <w:r>
        <w:rPr>
          <w:rFonts w:hint="eastAsia" w:eastAsia="黑体"/>
          <w:bCs/>
          <w:sz w:val="36"/>
          <w:szCs w:val="36"/>
        </w:rPr>
        <w:t>号说明书</w:t>
      </w:r>
    </w:p>
    <w:p>
      <w:pPr>
        <w:pStyle w:val="4"/>
        <w:widowControl/>
        <w:spacing w:line="240" w:lineRule="auto"/>
        <w:ind w:firstLine="0"/>
        <w:jc w:val="center"/>
        <w:rPr>
          <w:rFonts w:hint="eastAsia" w:eastAsia="黑体"/>
          <w:bCs/>
          <w:sz w:val="36"/>
          <w:szCs w:val="36"/>
        </w:rPr>
      </w:pP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华夏理财悦嘉封闭式理财产品</w:t>
            </w:r>
            <w:r>
              <w:rPr>
                <w:rFonts w:hint="eastAsia" w:ascii="仿宋" w:hAnsi="仿宋" w:eastAsia="仿宋"/>
                <w:b/>
                <w:bCs/>
                <w:szCs w:val="21"/>
                <w:lang w:val="en-US" w:eastAsia="zh-CN"/>
              </w:rPr>
              <w:t>6</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A份额简称：“华夏理财悦嘉封闭式</w:t>
            </w:r>
            <w:r>
              <w:rPr>
                <w:rFonts w:hint="eastAsia" w:ascii="仿宋" w:hAnsi="仿宋" w:eastAsia="仿宋"/>
                <w:b/>
                <w:bCs/>
                <w:szCs w:val="21"/>
                <w:lang w:val="en-US" w:eastAsia="zh-CN"/>
              </w:rPr>
              <w:t>6</w:t>
            </w:r>
            <w:r>
              <w:rPr>
                <w:rFonts w:hint="eastAsia" w:ascii="仿宋" w:hAnsi="仿宋" w:eastAsia="仿宋"/>
                <w:b/>
                <w:bCs/>
                <w:szCs w:val="21"/>
              </w:rPr>
              <w:t>号</w:t>
            </w:r>
            <w:r>
              <w:rPr>
                <w:rFonts w:hint="eastAsia" w:ascii="仿宋" w:hAnsi="仿宋" w:eastAsia="仿宋"/>
                <w:b/>
                <w:bCs/>
                <w:szCs w:val="21"/>
                <w:lang w:val="en-US" w:eastAsia="zh-CN"/>
              </w:rPr>
              <w:t>370</w:t>
            </w:r>
            <w:r>
              <w:rPr>
                <w:rFonts w:hint="eastAsia" w:ascii="仿宋" w:hAnsi="仿宋" w:eastAsia="仿宋"/>
                <w:b/>
                <w:bCs/>
                <w:szCs w:val="21"/>
              </w:rPr>
              <w:t>天A”</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B份额简称：“华夏理财悦嘉封闭式</w:t>
            </w:r>
            <w:r>
              <w:rPr>
                <w:rFonts w:hint="eastAsia" w:ascii="仿宋" w:hAnsi="仿宋" w:eastAsia="仿宋"/>
                <w:b/>
                <w:bCs/>
                <w:szCs w:val="21"/>
                <w:lang w:val="en-US" w:eastAsia="zh-CN"/>
              </w:rPr>
              <w:t>6</w:t>
            </w:r>
            <w:r>
              <w:rPr>
                <w:rFonts w:hint="eastAsia" w:ascii="仿宋" w:hAnsi="仿宋" w:eastAsia="仿宋"/>
                <w:b/>
                <w:bCs/>
                <w:szCs w:val="21"/>
              </w:rPr>
              <w:t>号</w:t>
            </w:r>
            <w:r>
              <w:rPr>
                <w:rFonts w:hint="eastAsia" w:ascii="仿宋" w:hAnsi="仿宋" w:eastAsia="仿宋"/>
                <w:b/>
                <w:bCs/>
                <w:szCs w:val="21"/>
                <w:lang w:val="en-US" w:eastAsia="zh-CN"/>
              </w:rPr>
              <w:t>370</w:t>
            </w:r>
            <w:r>
              <w:rPr>
                <w:rFonts w:hint="eastAsia" w:ascii="仿宋" w:hAnsi="仿宋" w:eastAsia="仿宋"/>
                <w:b/>
                <w:bCs/>
                <w:szCs w:val="21"/>
              </w:rPr>
              <w:t>天B”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2316100</w:t>
            </w:r>
            <w:r>
              <w:rPr>
                <w:rFonts w:hint="eastAsia" w:ascii="仿宋" w:hAnsi="仿宋" w:eastAsia="仿宋"/>
                <w:bCs/>
                <w:szCs w:val="21"/>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2316100</w:t>
            </w:r>
            <w:r>
              <w:rPr>
                <w:rFonts w:hint="eastAsia" w:ascii="仿宋" w:hAnsi="仿宋" w:eastAsia="仿宋"/>
                <w:bCs/>
                <w:szCs w:val="21"/>
                <w:lang w:val="en-US" w:eastAsia="zh-CN"/>
              </w:rPr>
              <w:t>6</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2316100</w:t>
            </w:r>
            <w:r>
              <w:rPr>
                <w:rFonts w:hint="eastAsia" w:ascii="仿宋" w:hAnsi="仿宋" w:eastAsia="仿宋"/>
                <w:bCs/>
                <w:szCs w:val="21"/>
                <w:lang w:val="en-US" w:eastAsia="zh-CN"/>
              </w:rPr>
              <w:t>6</w:t>
            </w:r>
            <w:r>
              <w:rPr>
                <w:rFonts w:hint="eastAsia"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Z700392300011</w:t>
            </w:r>
            <w:r>
              <w:rPr>
                <w:rFonts w:hint="eastAsia" w:ascii="仿宋" w:hAnsi="仿宋" w:eastAsia="仿宋"/>
                <w:bCs/>
                <w:szCs w:val="21"/>
                <w:lang w:val="en-US" w:eastAsia="zh-CN"/>
              </w:rPr>
              <w:t>7</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rPr>
              <w:t xml:space="preserve"> </w:t>
            </w:r>
            <w:r>
              <w:rPr>
                <w:rFonts w:hint="eastAsia" w:ascii="仿宋" w:hAnsi="仿宋" w:eastAsia="仿宋"/>
                <w:bCs/>
                <w:szCs w:val="21"/>
              </w:rPr>
              <w:t>PR2级（中低风险）</w:t>
            </w:r>
            <w:r>
              <w:rPr>
                <w:rFonts w:ascii="仿宋" w:hAnsi="仿宋"/>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b/>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个人投资者、机构投资</w:t>
            </w:r>
            <w:r>
              <w:rPr>
                <w:rFonts w:ascii="仿宋" w:hAnsi="仿宋" w:eastAsia="仿宋"/>
                <w:bCs/>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 xml:space="preserve"> CR2（稳健型）、CR3（平衡型）、CR4（进取型）、CR5（激进型）</w:t>
            </w:r>
            <w:r>
              <w:rPr>
                <w:rFonts w:ascii="仿宋" w:hAnsi="仿宋"/>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hint="eastAsia" w:ascii="仿宋" w:hAnsi="仿宋" w:eastAsia="仿宋" w:cs="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0</w:t>
            </w:r>
            <w:r>
              <w:rPr>
                <w:rFonts w:ascii="仿宋" w:hAnsi="仿宋" w:eastAsia="仿宋" w:cs="Cambria"/>
                <w:bCs/>
                <w:szCs w:val="21"/>
              </w:rPr>
              <w:t>0%-</w:t>
            </w:r>
            <w:r>
              <w:rPr>
                <w:rFonts w:hint="eastAsia" w:ascii="仿宋" w:hAnsi="仿宋" w:eastAsia="仿宋" w:cs="Cambria"/>
                <w:bCs/>
                <w:szCs w:val="21"/>
                <w:lang w:val="en-US" w:eastAsia="zh-CN"/>
              </w:rPr>
              <w:t>5</w:t>
            </w:r>
            <w:r>
              <w:rPr>
                <w:rFonts w:ascii="仿宋" w:hAnsi="仿宋" w:eastAsia="仿宋" w:cs="Cambria"/>
                <w:bCs/>
                <w:szCs w:val="21"/>
              </w:rPr>
              <w:t>.</w:t>
            </w:r>
            <w:r>
              <w:rPr>
                <w:rFonts w:hint="eastAsia" w:ascii="仿宋" w:hAnsi="仿宋" w:eastAsia="仿宋" w:cs="Cambria"/>
                <w:bCs/>
                <w:szCs w:val="21"/>
                <w:lang w:val="en-US" w:eastAsia="zh-CN"/>
              </w:rPr>
              <w:t>0</w:t>
            </w:r>
            <w:r>
              <w:rPr>
                <w:rFonts w:ascii="仿宋" w:hAnsi="仿宋" w:eastAsia="仿宋" w:cs="Cambria"/>
                <w:bCs/>
                <w:szCs w:val="21"/>
              </w:rPr>
              <w:t>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w:t>
            </w:r>
            <w:r>
              <w:rPr>
                <w:rFonts w:ascii="仿宋" w:hAnsi="仿宋" w:eastAsia="仿宋" w:cs="Cambria"/>
                <w:bCs/>
                <w:szCs w:val="21"/>
              </w:rPr>
              <w:t>0%-4.</w:t>
            </w:r>
            <w:r>
              <w:rPr>
                <w:rFonts w:hint="eastAsia" w:ascii="仿宋" w:hAnsi="仿宋" w:eastAsia="仿宋" w:cs="Cambria"/>
                <w:bCs/>
                <w:szCs w:val="21"/>
                <w:lang w:val="en-US" w:eastAsia="zh-CN"/>
              </w:rPr>
              <w:t>9</w:t>
            </w:r>
            <w:r>
              <w:rPr>
                <w:rFonts w:ascii="仿宋" w:hAnsi="仿宋" w:eastAsia="仿宋" w:cs="Cambria"/>
                <w:bCs/>
                <w:szCs w:val="21"/>
              </w:rPr>
              <w:t>0%</w:t>
            </w:r>
            <w:r>
              <w:rPr>
                <w:rFonts w:hint="eastAsia" w:ascii="仿宋" w:hAnsi="仿宋" w:eastAsia="仿宋" w:cs="Cambria"/>
                <w:bCs/>
                <w:szCs w:val="21"/>
              </w:rPr>
              <w:t>（年化）。以产品债券类资产仓位60%-80%，收益凭证及其他非标债权类资产仓位0-40%，权益类资产仓位0-10%，组合杠杆率100%-1</w:t>
            </w:r>
            <w:r>
              <w:rPr>
                <w:rFonts w:hint="eastAsia" w:ascii="仿宋" w:hAnsi="仿宋" w:eastAsia="仿宋" w:cs="Cambria"/>
                <w:bCs/>
                <w:szCs w:val="21"/>
                <w:lang w:val="en-US" w:eastAsia="zh-CN"/>
              </w:rPr>
              <w:t>3</w:t>
            </w:r>
            <w:r>
              <w:rPr>
                <w:rFonts w:hint="eastAsia" w:ascii="仿宋" w:hAnsi="仿宋" w:eastAsia="仿宋" w:cs="Cambria"/>
                <w:bCs/>
                <w:szCs w:val="21"/>
              </w:rPr>
              <w:t>0%为例，参考符合久期要求的目标债券到期收益率、Wind混合型基金总指数、非标债权类资产目标收益率以及收益凭证的收益特征，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370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2024年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华夏理财将于2个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cs="Cambria"/>
                <w:b/>
                <w:szCs w:val="21"/>
              </w:rPr>
            </w:pPr>
            <w:r>
              <w:rPr>
                <w:rFonts w:hint="eastAsia" w:ascii="仿宋" w:hAnsi="仿宋" w:eastAsia="仿宋" w:cs="Cambria"/>
                <w:b/>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cs="Cambria"/>
                <w:b/>
                <w:szCs w:val="21"/>
                <w:lang w:val="en-US" w:eastAsia="zh-CN"/>
              </w:rPr>
              <w:t>5</w:t>
            </w:r>
            <w:r>
              <w:rPr>
                <w:rFonts w:ascii="仿宋" w:hAnsi="仿宋" w:eastAsia="仿宋" w:cs="Cambria"/>
                <w:b/>
                <w:szCs w:val="21"/>
              </w:rPr>
              <w:t>.</w:t>
            </w:r>
            <w:r>
              <w:rPr>
                <w:rFonts w:hint="eastAsia" w:ascii="仿宋" w:hAnsi="仿宋" w:eastAsia="仿宋" w:cs="Cambria"/>
                <w:b/>
                <w:szCs w:val="21"/>
                <w:lang w:val="en-US" w:eastAsia="zh-CN"/>
              </w:rPr>
              <w:t>0</w:t>
            </w:r>
            <w:r>
              <w:rPr>
                <w:rFonts w:ascii="仿宋" w:hAnsi="仿宋" w:eastAsia="仿宋" w:cs="Cambria"/>
                <w:b/>
                <w:szCs w:val="21"/>
              </w:rPr>
              <w:t>0%</w:t>
            </w:r>
            <w:r>
              <w:rPr>
                <w:rFonts w:hint="eastAsia" w:ascii="仿宋" w:hAnsi="仿宋" w:eastAsia="仿宋" w:cs="Cambria"/>
                <w:b/>
                <w:szCs w:val="21"/>
              </w:rPr>
              <w:t>（年化）；B份额超额管理费计提基准为</w:t>
            </w:r>
            <w:r>
              <w:rPr>
                <w:rFonts w:ascii="仿宋" w:hAnsi="仿宋" w:eastAsia="仿宋" w:cs="Cambria"/>
                <w:b/>
                <w:szCs w:val="21"/>
              </w:rPr>
              <w:t>4.</w:t>
            </w:r>
            <w:r>
              <w:rPr>
                <w:rFonts w:hint="eastAsia" w:ascii="仿宋" w:hAnsi="仿宋" w:eastAsia="仿宋" w:cs="Cambria"/>
                <w:b/>
                <w:szCs w:val="21"/>
                <w:lang w:val="en-US" w:eastAsia="zh-CN"/>
              </w:rPr>
              <w:t>9</w:t>
            </w:r>
            <w:r>
              <w:rPr>
                <w:rFonts w:ascii="仿宋" w:hAnsi="仿宋" w:eastAsia="仿宋" w:cs="Cambria"/>
                <w:b/>
                <w:szCs w:val="21"/>
              </w:rPr>
              <w:t>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kern w:val="0"/>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cs="Cambria"/>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jc w:val="left"/>
              <w:rPr>
                <w:rFonts w:ascii="仿宋" w:hAnsi="仿宋" w:eastAsia="仿宋"/>
                <w:bCs/>
                <w:szCs w:val="21"/>
              </w:rPr>
            </w:pPr>
            <w:r>
              <w:rPr>
                <w:rFonts w:hint="eastAsia" w:ascii="仿宋" w:hAnsi="仿宋" w:eastAsia="仿宋" w:cs="Cambria"/>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本产品主要投资于货币市场工具、标准化债权类资产、非标准化债权类资产等固定收益类资产，权益类资产，商品及金融衍生品类资产。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10"/>
        <w:tblW w:w="8336"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651" w:type="dxa"/>
            <w:vAlign w:val="center"/>
          </w:tcPr>
          <w:p>
            <w:pPr>
              <w:adjustRightInd w:val="0"/>
              <w:snapToGrid w:val="0"/>
              <w:jc w:val="center"/>
              <w:rPr>
                <w:rFonts w:eastAsia="仿宋"/>
                <w:kern w:val="0"/>
                <w:sz w:val="24"/>
              </w:rPr>
            </w:pPr>
            <w:r>
              <w:rPr>
                <w:rFonts w:eastAsia="仿宋"/>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固定收益类</w:t>
            </w:r>
          </w:p>
        </w:tc>
        <w:tc>
          <w:tcPr>
            <w:tcW w:w="2651" w:type="dxa"/>
            <w:vAlign w:val="center"/>
          </w:tcPr>
          <w:p>
            <w:pPr>
              <w:adjustRightInd w:val="0"/>
              <w:snapToGrid w:val="0"/>
              <w:spacing w:line="288" w:lineRule="auto"/>
              <w:jc w:val="center"/>
              <w:rPr>
                <w:kern w:val="0"/>
                <w:sz w:val="24"/>
              </w:rPr>
            </w:pPr>
            <w:r>
              <w:rPr>
                <w:rFonts w:ascii="仿宋" w:hAnsi="仿宋" w:eastAsia="仿宋" w:cs="宋体"/>
                <w:color w:val="000000"/>
                <w:kern w:val="0"/>
                <w:sz w:val="24"/>
              </w:rPr>
              <w:t>90</w:t>
            </w:r>
            <w:r>
              <w:rPr>
                <w:rFonts w:hint="eastAsia" w:ascii="仿宋" w:hAnsi="仿宋" w:eastAsia="仿宋" w:cs="宋体"/>
                <w:color w:val="00000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tc>
        <w:tc>
          <w:tcPr>
            <w:tcW w:w="2651" w:type="dxa"/>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10</w:t>
            </w:r>
            <w:r>
              <w:rPr>
                <w:rFonts w:hint="eastAsia" w:ascii="仿宋" w:hAnsi="仿宋" w:eastAsia="仿宋"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blCellSpacing w:w="0" w:type="dxa"/>
          <w:jc w:val="center"/>
        </w:trPr>
        <w:tc>
          <w:tcPr>
            <w:tcW w:w="5685" w:type="dxa"/>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（商品及金融衍生品类资产投资须符合监管要求）</w:t>
            </w:r>
          </w:p>
        </w:tc>
        <w:tc>
          <w:tcPr>
            <w:tcW w:w="2651" w:type="dxa"/>
            <w:vAlign w:val="center"/>
          </w:tcPr>
          <w:p>
            <w:pPr>
              <w:adjustRightInd w:val="0"/>
              <w:snapToGrid w:val="0"/>
              <w:spacing w:line="288" w:lineRule="auto"/>
              <w:jc w:val="center"/>
              <w:rPr>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5</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keepNext/>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投资策略：</w:t>
      </w:r>
    </w:p>
    <w:p>
      <w:pPr>
        <w:widowControl/>
        <w:adjustRightInd w:val="0"/>
        <w:snapToGrid w:val="0"/>
        <w:spacing w:line="276" w:lineRule="auto"/>
        <w:ind w:firstLine="480" w:firstLineChars="200"/>
        <w:contextualSpacing/>
        <w:rPr>
          <w:rFonts w:ascii="仿宋" w:hAnsi="仿宋" w:eastAsia="仿宋" w:cs="宋体"/>
          <w:b/>
          <w:bCs/>
          <w:color w:val="000000"/>
          <w:kern w:val="0"/>
          <w:sz w:val="24"/>
        </w:rPr>
      </w:pPr>
      <w:r>
        <w:rPr>
          <w:rFonts w:hint="eastAsia" w:ascii="仿宋" w:hAnsi="仿宋" w:eastAsia="仿宋" w:cs="宋体"/>
          <w:kern w:val="0"/>
          <w:sz w:val="24"/>
        </w:rPr>
        <w:t>管理人投资权益类资产时，以</w:t>
      </w:r>
      <w:r>
        <w:rPr>
          <w:rFonts w:hint="eastAsia" w:ascii="仿宋" w:hAnsi="仿宋" w:eastAsia="仿宋" w:cs="宋体"/>
          <w:color w:val="000000"/>
          <w:kern w:val="0"/>
          <w:sz w:val="24"/>
        </w:rPr>
        <w:t>固定收益类</w:t>
      </w:r>
      <w:r>
        <w:rPr>
          <w:rFonts w:hint="eastAsia" w:ascii="仿宋" w:hAnsi="仿宋" w:eastAsia="仿宋" w:cs="宋体"/>
          <w:kern w:val="0"/>
          <w:sz w:val="24"/>
        </w:rPr>
        <w:t>资产收益作为权益投资的风险预算，当权益类资产下跌幅度超过风险预算时，触发强制止损机制，对权益类资产进行止损操作。当权益类资产对产品收益贡献达到目标收益时，降低权益仓位以锁定收益。</w:t>
      </w: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kern w:val="0"/>
          <w:sz w:val="24"/>
          <w:lang w:val="en-US" w:eastAsia="zh-CN"/>
        </w:rPr>
        <w:t>3</w:t>
      </w:r>
      <w:bookmarkStart w:id="7" w:name="_GoBack"/>
      <w:bookmarkEnd w:id="7"/>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w:t>
      </w:r>
      <w:r>
        <w:rPr>
          <w:rFonts w:ascii="仿宋" w:hAnsi="仿宋" w:eastAsia="仿宋"/>
          <w:color w:val="auto"/>
        </w:rPr>
        <w:t>本</w:t>
      </w:r>
      <w:r>
        <w:rPr>
          <w:rFonts w:hint="eastAsia" w:ascii="仿宋" w:hAnsi="仿宋" w:eastAsia="仿宋"/>
          <w:color w:val="auto"/>
        </w:rPr>
        <w:t>理财</w:t>
      </w:r>
      <w:r>
        <w:rPr>
          <w:rFonts w:ascii="仿宋" w:hAnsi="仿宋" w:eastAsia="仿宋"/>
          <w:color w:val="auto"/>
        </w:rPr>
        <w:t>产品管理人为华夏理财有限责任公司。</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w:t>
      </w:r>
      <w:r>
        <w:rPr>
          <w:rFonts w:ascii="仿宋" w:hAnsi="仿宋" w:eastAsia="仿宋"/>
          <w:color w:val="auto"/>
        </w:rPr>
        <w:t>本理财产品</w:t>
      </w:r>
      <w:r>
        <w:rPr>
          <w:rFonts w:hint="eastAsia" w:ascii="仿宋" w:hAnsi="仿宋" w:eastAsia="仿宋"/>
          <w:color w:val="auto"/>
        </w:rPr>
        <w:t>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3.拒绝或暂停认购的情形</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可以采取认购风险应对措施，拒绝或暂停接受认购申请：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rPr>
      </w:pPr>
      <w:r>
        <w:rPr>
          <w:rFonts w:hint="eastAsia" w:ascii="仿宋" w:hAnsi="仿宋" w:eastAsia="仿宋" w:cs="宋体"/>
          <w:color w:val="000000"/>
          <w:kern w:val="0"/>
          <w:sz w:val="24"/>
        </w:rPr>
        <w:t>如果投资人的认购申请被全部或部分拒绝的，被拒绝的认购款项将退还给投资人。在暂停认购的情况消除时，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rPr>
        <w:t>06</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rPr>
        <w:t>06</w:t>
      </w:r>
      <w:r>
        <w:rPr>
          <w:rFonts w:ascii="仿宋" w:hAnsi="仿宋" w:eastAsia="仿宋" w:cs="仿宋"/>
          <w:sz w:val="24"/>
        </w:rPr>
        <w:t>00=1</w:t>
      </w:r>
      <w:r>
        <w:rPr>
          <w:rFonts w:hint="eastAsia" w:ascii="仿宋" w:hAnsi="仿宋" w:eastAsia="仿宋" w:cs="仿宋"/>
          <w:sz w:val="24"/>
        </w:rPr>
        <w:t>06</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hint="eastAsia" w:ascii="仿宋" w:hAnsi="仿宋" w:eastAsia="仿宋" w:cs="宋体"/>
          <w:color w:val="000000"/>
          <w:kern w:val="0"/>
          <w:sz w:val="24"/>
        </w:rPr>
        <w:t>场外申赎的开放式非货币基金以估值日可获取的基金管理人公布的最新基金份额净值估值</w:t>
      </w:r>
      <w:r>
        <w:rPr>
          <w:rFonts w:hint="eastAsia" w:ascii="仿宋" w:hAnsi="仿宋" w:eastAsia="仿宋"/>
          <w:color w:val="auto"/>
        </w:rPr>
        <w:t>；</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w:t>
      </w:r>
      <w:r>
        <w:rPr>
          <w:rFonts w:hint="eastAsia" w:ascii="仿宋" w:hAnsi="仿宋" w:eastAsia="仿宋" w:cs="宋体"/>
          <w:color w:val="000000"/>
          <w:kern w:val="0"/>
          <w:sz w:val="24"/>
        </w:rPr>
        <w:t>货币基金以估值日可获取的基金管理人公布的最新万份收益计提红利</w:t>
      </w:r>
      <w:r>
        <w:rPr>
          <w:rFonts w:hint="eastAsia" w:ascii="仿宋" w:hAnsi="仿宋" w:eastAsia="仿宋"/>
          <w:color w:val="auto"/>
        </w:rPr>
        <w:t>。</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的影响。在最不利的情况下，理财产品到期/终止时投资者可能无法获得理财产品投资收益，甚至损失全部理财本金，由此产生的风险由投资者自行承担。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投资者无权随时提前赎回</w:t>
      </w:r>
      <w:r>
        <w:rPr>
          <w:rFonts w:hint="eastAsia" w:ascii="Times New Roman" w:eastAsia="黑体" w:cs="Times New Roman"/>
          <w:b/>
          <w:color w:val="auto"/>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（十）延期风险：</w:t>
      </w:r>
      <w:r>
        <w:rPr>
          <w:rFonts w:ascii="Times New Roman" w:eastAsia="黑体" w:cs="Times New Roman"/>
          <w:b/>
          <w:color w:val="auto"/>
        </w:rPr>
        <w:t>如因与理财产品投资资产相关的</w:t>
      </w:r>
      <w:r>
        <w:rPr>
          <w:rFonts w:hint="eastAsia" w:ascii="Times New Roman" w:eastAsia="黑体" w:cs="Times New Roman"/>
          <w:b/>
          <w:color w:val="auto"/>
        </w:rPr>
        <w:t>资产管理计划管理人、</w:t>
      </w:r>
      <w:r>
        <w:rPr>
          <w:rFonts w:ascii="Times New Roman" w:eastAsia="黑体" w:cs="Times New Roman"/>
          <w:b/>
          <w:color w:val="auto"/>
        </w:rPr>
        <w:t>信托受托人、债务人、担保人（如有）等主体发生违约，导致本理财产品不能按时偿</w:t>
      </w:r>
      <w:r>
        <w:rPr>
          <w:rFonts w:hint="eastAsia" w:ascii="Times New Roman" w:eastAsia="黑体" w:cs="Times New Roman"/>
          <w:b/>
          <w:color w:val="auto"/>
        </w:rPr>
        <w:t>付</w:t>
      </w:r>
      <w:r>
        <w:rPr>
          <w:rFonts w:ascii="Times New Roman" w:eastAsia="黑体" w:cs="Times New Roman"/>
          <w:b/>
          <w:color w:val="auto"/>
        </w:rPr>
        <w:t>理财本金及收益</w:t>
      </w:r>
      <w:r>
        <w:rPr>
          <w:rFonts w:hint="eastAsia" w:ascii="Times New Roman" w:eastAsia="黑体" w:cs="Times New Roman"/>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hint="eastAsia" w:ascii="Times New Roman" w:eastAsia="黑体" w:cs="Times New Roman"/>
          <w:b/>
          <w:color w:val="auto"/>
        </w:rPr>
        <w:t>产品</w:t>
      </w:r>
      <w:r>
        <w:rPr>
          <w:rFonts w:ascii="Times New Roman" w:eastAsia="黑体" w:cs="Times New Roman"/>
          <w:b/>
          <w:color w:val="auto"/>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（十三）拟投资市场及资产的流动性风险评估</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（十四）流动性应对措施及对投资者的潜在影响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06C"/>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23342"/>
    <w:rsid w:val="00133FA8"/>
    <w:rsid w:val="0013677C"/>
    <w:rsid w:val="00165B63"/>
    <w:rsid w:val="0017498E"/>
    <w:rsid w:val="00183EA3"/>
    <w:rsid w:val="00186079"/>
    <w:rsid w:val="00190BB4"/>
    <w:rsid w:val="001D2415"/>
    <w:rsid w:val="001E1606"/>
    <w:rsid w:val="001E41AD"/>
    <w:rsid w:val="001F7D2D"/>
    <w:rsid w:val="00215C06"/>
    <w:rsid w:val="002318DF"/>
    <w:rsid w:val="00240267"/>
    <w:rsid w:val="00244A8F"/>
    <w:rsid w:val="002553C2"/>
    <w:rsid w:val="00257913"/>
    <w:rsid w:val="00257999"/>
    <w:rsid w:val="00262B55"/>
    <w:rsid w:val="00280398"/>
    <w:rsid w:val="002960B6"/>
    <w:rsid w:val="002A05D2"/>
    <w:rsid w:val="002B2BDD"/>
    <w:rsid w:val="002E4C28"/>
    <w:rsid w:val="002F6B80"/>
    <w:rsid w:val="00305047"/>
    <w:rsid w:val="00316AFC"/>
    <w:rsid w:val="00322620"/>
    <w:rsid w:val="003243A1"/>
    <w:rsid w:val="00333AEC"/>
    <w:rsid w:val="0033431D"/>
    <w:rsid w:val="00344E4C"/>
    <w:rsid w:val="003536CA"/>
    <w:rsid w:val="003750FE"/>
    <w:rsid w:val="00380E25"/>
    <w:rsid w:val="00382196"/>
    <w:rsid w:val="00383192"/>
    <w:rsid w:val="00386DF5"/>
    <w:rsid w:val="00387828"/>
    <w:rsid w:val="003C19A7"/>
    <w:rsid w:val="003C47F9"/>
    <w:rsid w:val="003C561D"/>
    <w:rsid w:val="003C737C"/>
    <w:rsid w:val="003D0255"/>
    <w:rsid w:val="003D1B1D"/>
    <w:rsid w:val="003D7791"/>
    <w:rsid w:val="003E19F9"/>
    <w:rsid w:val="003F0CFC"/>
    <w:rsid w:val="003F1A6A"/>
    <w:rsid w:val="003F7BA9"/>
    <w:rsid w:val="0040011D"/>
    <w:rsid w:val="00400CDC"/>
    <w:rsid w:val="004128C5"/>
    <w:rsid w:val="00420E68"/>
    <w:rsid w:val="00443D10"/>
    <w:rsid w:val="0046534D"/>
    <w:rsid w:val="00481C7D"/>
    <w:rsid w:val="00482583"/>
    <w:rsid w:val="0048600F"/>
    <w:rsid w:val="004A2CEA"/>
    <w:rsid w:val="004B3C7D"/>
    <w:rsid w:val="004C7E7D"/>
    <w:rsid w:val="004D72E5"/>
    <w:rsid w:val="004E7458"/>
    <w:rsid w:val="004F3054"/>
    <w:rsid w:val="00511A6C"/>
    <w:rsid w:val="00511F92"/>
    <w:rsid w:val="005228EC"/>
    <w:rsid w:val="00541B21"/>
    <w:rsid w:val="005521CA"/>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6179"/>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05CFA"/>
    <w:rsid w:val="0092398B"/>
    <w:rsid w:val="00926B88"/>
    <w:rsid w:val="00933895"/>
    <w:rsid w:val="00940AE1"/>
    <w:rsid w:val="00954692"/>
    <w:rsid w:val="009767AD"/>
    <w:rsid w:val="00991585"/>
    <w:rsid w:val="0099257B"/>
    <w:rsid w:val="009A1572"/>
    <w:rsid w:val="009B40CA"/>
    <w:rsid w:val="009B5749"/>
    <w:rsid w:val="009B654D"/>
    <w:rsid w:val="009C25C2"/>
    <w:rsid w:val="009E64E1"/>
    <w:rsid w:val="009F3291"/>
    <w:rsid w:val="00A10AA6"/>
    <w:rsid w:val="00A15763"/>
    <w:rsid w:val="00A23D14"/>
    <w:rsid w:val="00A40B5C"/>
    <w:rsid w:val="00A450DA"/>
    <w:rsid w:val="00A80484"/>
    <w:rsid w:val="00AA20BC"/>
    <w:rsid w:val="00AB6C5C"/>
    <w:rsid w:val="00AC051A"/>
    <w:rsid w:val="00AC0C84"/>
    <w:rsid w:val="00AC28C2"/>
    <w:rsid w:val="00AC56CD"/>
    <w:rsid w:val="00AD5773"/>
    <w:rsid w:val="00AE3F67"/>
    <w:rsid w:val="00AE55A6"/>
    <w:rsid w:val="00AF0D6A"/>
    <w:rsid w:val="00AF2148"/>
    <w:rsid w:val="00AF4114"/>
    <w:rsid w:val="00AF79D6"/>
    <w:rsid w:val="00B13FB3"/>
    <w:rsid w:val="00B2549A"/>
    <w:rsid w:val="00B26E45"/>
    <w:rsid w:val="00B2731B"/>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651A"/>
    <w:rsid w:val="00CA72BA"/>
    <w:rsid w:val="00CB300C"/>
    <w:rsid w:val="00CC1C04"/>
    <w:rsid w:val="00CC6613"/>
    <w:rsid w:val="00CC7912"/>
    <w:rsid w:val="00CD1AC8"/>
    <w:rsid w:val="00CF7FD2"/>
    <w:rsid w:val="00D03E60"/>
    <w:rsid w:val="00D06EC1"/>
    <w:rsid w:val="00D07C3B"/>
    <w:rsid w:val="00D20E48"/>
    <w:rsid w:val="00D54E89"/>
    <w:rsid w:val="00D603CC"/>
    <w:rsid w:val="00D62515"/>
    <w:rsid w:val="00D62EAE"/>
    <w:rsid w:val="00D633D2"/>
    <w:rsid w:val="00D7194A"/>
    <w:rsid w:val="00D74E35"/>
    <w:rsid w:val="00D76D28"/>
    <w:rsid w:val="00D81EE7"/>
    <w:rsid w:val="00D842DC"/>
    <w:rsid w:val="00D92F2F"/>
    <w:rsid w:val="00D96806"/>
    <w:rsid w:val="00DA1051"/>
    <w:rsid w:val="00DB3201"/>
    <w:rsid w:val="00DB6A3F"/>
    <w:rsid w:val="00DC5F87"/>
    <w:rsid w:val="00DE7DB8"/>
    <w:rsid w:val="00DF01F0"/>
    <w:rsid w:val="00E01C5E"/>
    <w:rsid w:val="00E02F1C"/>
    <w:rsid w:val="00E064E3"/>
    <w:rsid w:val="00E13C40"/>
    <w:rsid w:val="00E32C0D"/>
    <w:rsid w:val="00E4718A"/>
    <w:rsid w:val="00E53D13"/>
    <w:rsid w:val="00E65F0B"/>
    <w:rsid w:val="00E8067C"/>
    <w:rsid w:val="00E91719"/>
    <w:rsid w:val="00E93A95"/>
    <w:rsid w:val="00EA4EFE"/>
    <w:rsid w:val="00EC1941"/>
    <w:rsid w:val="00EC40FF"/>
    <w:rsid w:val="00ED51B9"/>
    <w:rsid w:val="00ED5CA8"/>
    <w:rsid w:val="00EE0EFC"/>
    <w:rsid w:val="00EE4B28"/>
    <w:rsid w:val="00F02D76"/>
    <w:rsid w:val="00F045C3"/>
    <w:rsid w:val="00F05127"/>
    <w:rsid w:val="00F35750"/>
    <w:rsid w:val="00F512E9"/>
    <w:rsid w:val="00F54606"/>
    <w:rsid w:val="00F67A6A"/>
    <w:rsid w:val="00F67A9C"/>
    <w:rsid w:val="00F72DB1"/>
    <w:rsid w:val="00F77DC9"/>
    <w:rsid w:val="00F82368"/>
    <w:rsid w:val="00FB10EC"/>
    <w:rsid w:val="00FC0983"/>
    <w:rsid w:val="00FC21F8"/>
    <w:rsid w:val="00FC50A4"/>
    <w:rsid w:val="00FC5EEF"/>
    <w:rsid w:val="00FF5911"/>
    <w:rsid w:val="015E11C2"/>
    <w:rsid w:val="02417756"/>
    <w:rsid w:val="02E40AD0"/>
    <w:rsid w:val="033A4D39"/>
    <w:rsid w:val="034644C7"/>
    <w:rsid w:val="04196F12"/>
    <w:rsid w:val="04435A9E"/>
    <w:rsid w:val="04950991"/>
    <w:rsid w:val="05351A10"/>
    <w:rsid w:val="054B7EFA"/>
    <w:rsid w:val="05831998"/>
    <w:rsid w:val="060A409E"/>
    <w:rsid w:val="0610015A"/>
    <w:rsid w:val="066C6455"/>
    <w:rsid w:val="06930C07"/>
    <w:rsid w:val="070D78DE"/>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134BF"/>
    <w:rsid w:val="1BA24967"/>
    <w:rsid w:val="1BAF6A57"/>
    <w:rsid w:val="1BCE5D96"/>
    <w:rsid w:val="1BDE2098"/>
    <w:rsid w:val="1C465E86"/>
    <w:rsid w:val="1C726314"/>
    <w:rsid w:val="1CE252F3"/>
    <w:rsid w:val="1D104FDC"/>
    <w:rsid w:val="1D117096"/>
    <w:rsid w:val="1DE516B8"/>
    <w:rsid w:val="1E433C85"/>
    <w:rsid w:val="1ED877DF"/>
    <w:rsid w:val="1F0B3DFE"/>
    <w:rsid w:val="1F5522A7"/>
    <w:rsid w:val="1F7B1BD0"/>
    <w:rsid w:val="1FD45CE1"/>
    <w:rsid w:val="21433609"/>
    <w:rsid w:val="214D162F"/>
    <w:rsid w:val="22171129"/>
    <w:rsid w:val="222D0D62"/>
    <w:rsid w:val="2350568B"/>
    <w:rsid w:val="237F35E5"/>
    <w:rsid w:val="23A50D24"/>
    <w:rsid w:val="23BB3E13"/>
    <w:rsid w:val="23E44373"/>
    <w:rsid w:val="242806AA"/>
    <w:rsid w:val="24392A65"/>
    <w:rsid w:val="2467066D"/>
    <w:rsid w:val="24E91956"/>
    <w:rsid w:val="252E26F1"/>
    <w:rsid w:val="25C3267A"/>
    <w:rsid w:val="25D568B4"/>
    <w:rsid w:val="25F33B9E"/>
    <w:rsid w:val="260C731E"/>
    <w:rsid w:val="26103F21"/>
    <w:rsid w:val="270B308D"/>
    <w:rsid w:val="2717633A"/>
    <w:rsid w:val="27EA63D1"/>
    <w:rsid w:val="287A5D0E"/>
    <w:rsid w:val="28B05EE9"/>
    <w:rsid w:val="28D30187"/>
    <w:rsid w:val="28E571A8"/>
    <w:rsid w:val="294C4E21"/>
    <w:rsid w:val="296D4B02"/>
    <w:rsid w:val="29C05E6C"/>
    <w:rsid w:val="2A103412"/>
    <w:rsid w:val="2A1E1418"/>
    <w:rsid w:val="2A770C99"/>
    <w:rsid w:val="2A9A7D70"/>
    <w:rsid w:val="2BBB2833"/>
    <w:rsid w:val="2BC42334"/>
    <w:rsid w:val="2C1011CD"/>
    <w:rsid w:val="2C40390A"/>
    <w:rsid w:val="2C4C703B"/>
    <w:rsid w:val="2D0852EE"/>
    <w:rsid w:val="2D241337"/>
    <w:rsid w:val="2D753D30"/>
    <w:rsid w:val="2DC02129"/>
    <w:rsid w:val="2E010168"/>
    <w:rsid w:val="2E6A7D66"/>
    <w:rsid w:val="2EA972CC"/>
    <w:rsid w:val="2EC31B75"/>
    <w:rsid w:val="2FE72027"/>
    <w:rsid w:val="306A1371"/>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0D6CB1"/>
    <w:rsid w:val="3B4C73CF"/>
    <w:rsid w:val="3BC55932"/>
    <w:rsid w:val="3C4353DD"/>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1012626"/>
    <w:rsid w:val="417575F2"/>
    <w:rsid w:val="41BD7655"/>
    <w:rsid w:val="41CC7DB7"/>
    <w:rsid w:val="42F60353"/>
    <w:rsid w:val="438556A7"/>
    <w:rsid w:val="43A6228A"/>
    <w:rsid w:val="4524487F"/>
    <w:rsid w:val="455123EC"/>
    <w:rsid w:val="45CC078F"/>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171C0"/>
    <w:rsid w:val="4B1D70C8"/>
    <w:rsid w:val="4B647634"/>
    <w:rsid w:val="4B690413"/>
    <w:rsid w:val="4BB86F47"/>
    <w:rsid w:val="4BF60566"/>
    <w:rsid w:val="4C263A21"/>
    <w:rsid w:val="4C973694"/>
    <w:rsid w:val="4CCE54E6"/>
    <w:rsid w:val="4DE843F0"/>
    <w:rsid w:val="4E4F3708"/>
    <w:rsid w:val="4E516C0B"/>
    <w:rsid w:val="4EDD4EDE"/>
    <w:rsid w:val="4EE45C33"/>
    <w:rsid w:val="4F0D20A6"/>
    <w:rsid w:val="500C5A60"/>
    <w:rsid w:val="50461117"/>
    <w:rsid w:val="509A5F14"/>
    <w:rsid w:val="514005B6"/>
    <w:rsid w:val="51954E8A"/>
    <w:rsid w:val="519B5496"/>
    <w:rsid w:val="51D20DCB"/>
    <w:rsid w:val="524B3F1B"/>
    <w:rsid w:val="52667895"/>
    <w:rsid w:val="52B20439"/>
    <w:rsid w:val="53735224"/>
    <w:rsid w:val="537D24F6"/>
    <w:rsid w:val="5395034E"/>
    <w:rsid w:val="543C05E0"/>
    <w:rsid w:val="546B0168"/>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D8D61EF"/>
    <w:rsid w:val="5E3B759B"/>
    <w:rsid w:val="5E501568"/>
    <w:rsid w:val="5E50611E"/>
    <w:rsid w:val="5EB138AE"/>
    <w:rsid w:val="5EB53035"/>
    <w:rsid w:val="5ECD3218"/>
    <w:rsid w:val="5ED23CC7"/>
    <w:rsid w:val="5EE6353D"/>
    <w:rsid w:val="5F0310B7"/>
    <w:rsid w:val="5F0C287E"/>
    <w:rsid w:val="5F5952B0"/>
    <w:rsid w:val="5F690625"/>
    <w:rsid w:val="602E28A2"/>
    <w:rsid w:val="60C0423D"/>
    <w:rsid w:val="60E7450D"/>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533318"/>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B4C2F45"/>
    <w:rsid w:val="6B966680"/>
    <w:rsid w:val="6C161AD0"/>
    <w:rsid w:val="6C1F0271"/>
    <w:rsid w:val="6D157AE9"/>
    <w:rsid w:val="6D2E7D50"/>
    <w:rsid w:val="6DB009C6"/>
    <w:rsid w:val="6DC10226"/>
    <w:rsid w:val="6DD90E21"/>
    <w:rsid w:val="6DE0162F"/>
    <w:rsid w:val="6DFA3383"/>
    <w:rsid w:val="6E1A49C5"/>
    <w:rsid w:val="6E254EA7"/>
    <w:rsid w:val="6EBB30B7"/>
    <w:rsid w:val="6F786BDA"/>
    <w:rsid w:val="7018621E"/>
    <w:rsid w:val="709573C6"/>
    <w:rsid w:val="709E2354"/>
    <w:rsid w:val="70E70772"/>
    <w:rsid w:val="71900429"/>
    <w:rsid w:val="719027A5"/>
    <w:rsid w:val="71C9496E"/>
    <w:rsid w:val="71EE76F7"/>
    <w:rsid w:val="724D102D"/>
    <w:rsid w:val="725F0CAE"/>
    <w:rsid w:val="729670D4"/>
    <w:rsid w:val="72981180"/>
    <w:rsid w:val="729C09F9"/>
    <w:rsid w:val="73155C46"/>
    <w:rsid w:val="7366194C"/>
    <w:rsid w:val="74062834"/>
    <w:rsid w:val="740D552E"/>
    <w:rsid w:val="74136087"/>
    <w:rsid w:val="74A805D6"/>
    <w:rsid w:val="74A870B6"/>
    <w:rsid w:val="74FA0674"/>
    <w:rsid w:val="754F1383"/>
    <w:rsid w:val="75DC198B"/>
    <w:rsid w:val="763F7244"/>
    <w:rsid w:val="764A2B58"/>
    <w:rsid w:val="76661B90"/>
    <w:rsid w:val="767F0302"/>
    <w:rsid w:val="76CD53F1"/>
    <w:rsid w:val="77731DCC"/>
    <w:rsid w:val="77F43C8B"/>
    <w:rsid w:val="78211C34"/>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4"/>
    <w:uiPriority w:val="0"/>
    <w:rPr>
      <w:b/>
      <w:bCs/>
    </w:rPr>
  </w:style>
  <w:style w:type="paragraph" w:styleId="3">
    <w:name w:val="annotation text"/>
    <w:basedOn w:val="1"/>
    <w:link w:val="13"/>
    <w:uiPriority w:val="0"/>
    <w:pPr>
      <w:jc w:val="left"/>
    </w:pPr>
  </w:style>
  <w:style w:type="paragraph" w:styleId="4">
    <w:name w:val="Body Text Indent"/>
    <w:basedOn w:val="1"/>
    <w:unhideWhenUsed/>
    <w:uiPriority w:val="0"/>
    <w:pPr>
      <w:ind w:firstLine="630"/>
    </w:pPr>
    <w:rPr>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uiPriority w:val="0"/>
    <w:rPr>
      <w:sz w:val="21"/>
      <w:szCs w:val="21"/>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修订1"/>
    <w:unhideWhenUsed/>
    <w:uiPriority w:val="99"/>
    <w:rPr>
      <w:rFonts w:ascii="Times New Roman" w:hAnsi="Times New Roman" w:eastAsia="宋体" w:cs="Times New Roman"/>
      <w:kern w:val="2"/>
      <w:sz w:val="21"/>
      <w:szCs w:val="24"/>
      <w:lang w:val="en-US" w:eastAsia="zh-CN" w:bidi="ar-SA"/>
    </w:rPr>
  </w:style>
  <w:style w:type="character" w:customStyle="1" w:styleId="13">
    <w:name w:val="批注文字 Char"/>
    <w:link w:val="3"/>
    <w:uiPriority w:val="0"/>
    <w:rPr>
      <w:kern w:val="2"/>
      <w:sz w:val="21"/>
      <w:szCs w:val="24"/>
    </w:rPr>
  </w:style>
  <w:style w:type="character" w:customStyle="1" w:styleId="14">
    <w:name w:val="批注主题 Char"/>
    <w:link w:val="2"/>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2467</Words>
  <Characters>14066</Characters>
  <Lines>117</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2023-04-04T03:23:00Z</dcterms:created>
  <dc:creator>ylh</dc:creator>
  <cp:keywords>23Y4</cp:keywords>
  <cp:lastModifiedBy>RORO</cp:lastModifiedBy>
  <cp:lastPrinted>2023-03-23T08:24:00Z</cp:lastPrinted>
  <dcterms:modified xsi:type="dcterms:W3CDTF">2023-06-08T02:42:41Z</dcterms:modified>
  <dc:title>华夏理财悦嘉封闭式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F1F6118076854A19BA3D04EB58E7529E</vt:lpwstr>
  </property>
</Properties>
</file>