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华夏理财固定收益债权型封闭式理财产品</w:t>
      </w:r>
      <w:r>
        <w:rPr>
          <w:rFonts w:eastAsia="黑体"/>
          <w:bCs/>
          <w:sz w:val="36"/>
          <w:szCs w:val="36"/>
        </w:rPr>
        <w:t>9</w:t>
      </w:r>
      <w:r>
        <w:rPr>
          <w:rFonts w:hint="eastAsia" w:eastAsia="黑体"/>
          <w:bCs/>
          <w:sz w:val="36"/>
          <w:szCs w:val="36"/>
          <w:lang w:val="en-US" w:eastAsia="zh-CN"/>
        </w:rPr>
        <w:t>2</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华夏理财固定收益债权型封闭式理财产品9</w:t>
            </w:r>
            <w:r>
              <w:rPr>
                <w:rFonts w:hint="eastAsia" w:ascii="仿宋" w:hAnsi="仿宋" w:eastAsia="仿宋"/>
                <w:b/>
                <w:bCs/>
                <w:szCs w:val="21"/>
                <w:lang w:val="en-US" w:eastAsia="zh-CN"/>
              </w:rPr>
              <w:t>2</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A份额简称：“华夏理财固收债权封闭式9</w:t>
            </w:r>
            <w:r>
              <w:rPr>
                <w:rFonts w:hint="eastAsia" w:ascii="仿宋" w:hAnsi="仿宋" w:eastAsia="仿宋"/>
                <w:b/>
                <w:bCs/>
                <w:szCs w:val="21"/>
                <w:lang w:val="en-US" w:eastAsia="zh-CN"/>
              </w:rPr>
              <w:t>2</w:t>
            </w:r>
            <w:r>
              <w:rPr>
                <w:rFonts w:hint="eastAsia" w:ascii="仿宋" w:hAnsi="仿宋" w:eastAsia="仿宋"/>
                <w:b/>
                <w:bCs/>
                <w:szCs w:val="21"/>
              </w:rPr>
              <w:t>号</w:t>
            </w:r>
            <w:r>
              <w:rPr>
                <w:rFonts w:hint="eastAsia" w:ascii="仿宋" w:hAnsi="仿宋" w:eastAsia="仿宋"/>
                <w:b/>
                <w:bCs/>
                <w:szCs w:val="21"/>
                <w:lang w:val="en-US" w:eastAsia="zh-CN"/>
              </w:rPr>
              <w:t>753</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份额简称：“华夏理财固收债权封闭式9</w:t>
            </w:r>
            <w:r>
              <w:rPr>
                <w:rFonts w:hint="eastAsia" w:ascii="仿宋" w:hAnsi="仿宋" w:eastAsia="仿宋"/>
                <w:b/>
                <w:bCs/>
                <w:szCs w:val="21"/>
                <w:lang w:val="en-US" w:eastAsia="zh-CN"/>
              </w:rPr>
              <w:t>2</w:t>
            </w:r>
            <w:r>
              <w:rPr>
                <w:rFonts w:hint="eastAsia" w:ascii="仿宋" w:hAnsi="仿宋" w:eastAsia="仿宋"/>
                <w:b/>
                <w:bCs/>
                <w:szCs w:val="21"/>
              </w:rPr>
              <w:t>号</w:t>
            </w:r>
            <w:r>
              <w:rPr>
                <w:rFonts w:hint="eastAsia" w:ascii="仿宋" w:hAnsi="仿宋" w:eastAsia="仿宋"/>
                <w:b/>
                <w:bCs/>
                <w:szCs w:val="21"/>
                <w:lang w:val="en-US" w:eastAsia="zh-CN"/>
              </w:rPr>
              <w:t>753</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2312109</w:t>
            </w:r>
            <w:r>
              <w:rPr>
                <w:rFonts w:hint="eastAsia" w:ascii="仿宋" w:hAnsi="仿宋" w:eastAsia="仿宋"/>
                <w:bCs/>
                <w:szCs w:val="21"/>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w:t>
            </w:r>
            <w:r>
              <w:rPr>
                <w:rFonts w:hint="eastAsia" w:ascii="仿宋" w:hAnsi="仿宋" w:eastAsia="仿宋"/>
                <w:bCs/>
                <w:szCs w:val="21"/>
                <w:lang w:val="en-US" w:eastAsia="zh-CN"/>
              </w:rPr>
              <w:t>092</w:t>
            </w:r>
            <w:r>
              <w:rPr>
                <w:rFonts w:hint="eastAsia" w:ascii="仿宋" w:hAnsi="仿宋" w:eastAsia="仿宋"/>
                <w:bCs/>
                <w:szCs w:val="21"/>
              </w:rPr>
              <w:t>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w:t>
            </w:r>
            <w:r>
              <w:rPr>
                <w:rFonts w:ascii="仿宋" w:hAnsi="仿宋" w:eastAsia="仿宋"/>
                <w:bCs/>
                <w:szCs w:val="21"/>
              </w:rPr>
              <w:t>23121</w:t>
            </w:r>
            <w:r>
              <w:rPr>
                <w:rFonts w:hint="eastAsia" w:ascii="仿宋" w:hAnsi="仿宋" w:eastAsia="仿宋"/>
                <w:bCs/>
                <w:szCs w:val="21"/>
                <w:lang w:val="en-US" w:eastAsia="zh-CN"/>
              </w:rPr>
              <w:t>092</w:t>
            </w:r>
            <w:r>
              <w:rPr>
                <w:rFonts w:hint="eastAsia" w:ascii="仿宋" w:hAnsi="仿宋" w:eastAsia="仿宋"/>
                <w:bCs/>
                <w:szCs w:val="21"/>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10</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4.00%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w:t>
            </w:r>
            <w:r>
              <w:rPr>
                <w:rFonts w:hint="eastAsia" w:ascii="仿宋" w:hAnsi="仿宋" w:eastAsia="仿宋" w:cs="Cambria"/>
                <w:bCs/>
                <w:szCs w:val="21"/>
                <w:lang w:val="en-US" w:eastAsia="zh-CN"/>
              </w:rPr>
              <w:t>85</w:t>
            </w:r>
            <w:r>
              <w:rPr>
                <w:rFonts w:ascii="仿宋" w:hAnsi="仿宋" w:eastAsia="仿宋" w:cs="Cambria"/>
                <w:bCs/>
                <w:szCs w:val="21"/>
              </w:rPr>
              <w:t>%</w:t>
            </w:r>
            <w:r>
              <w:rPr>
                <w:rFonts w:hint="eastAsia" w:ascii="仿宋" w:hAnsi="仿宋" w:eastAsia="仿宋" w:cs="Cambria"/>
                <w:bCs/>
                <w:szCs w:val="21"/>
              </w:rPr>
              <w:t>（年化）。以产品投资债券类资产仓位</w:t>
            </w:r>
            <w:r>
              <w:rPr>
                <w:rFonts w:hint="eastAsia" w:ascii="仿宋" w:hAnsi="仿宋" w:eastAsia="仿宋" w:cs="Cambria"/>
                <w:bCs/>
                <w:szCs w:val="21"/>
                <w:lang w:val="en-US" w:eastAsia="zh-CN"/>
              </w:rPr>
              <w:t>60</w:t>
            </w:r>
            <w:r>
              <w:rPr>
                <w:rFonts w:hint="eastAsia" w:ascii="仿宋" w:hAnsi="仿宋" w:eastAsia="仿宋" w:cs="Cambria"/>
                <w:bCs/>
                <w:szCs w:val="21"/>
              </w:rPr>
              <w:t>%-100%，非标债权类资产仓位0-4</w:t>
            </w:r>
            <w:r>
              <w:rPr>
                <w:rFonts w:hint="eastAsia" w:ascii="仿宋" w:hAnsi="仿宋" w:eastAsia="仿宋" w:cs="Cambria"/>
                <w:bCs/>
                <w:szCs w:val="21"/>
                <w:lang w:val="en-US" w:eastAsia="zh-CN"/>
              </w:rPr>
              <w:t>0</w:t>
            </w:r>
            <w:r>
              <w:rPr>
                <w:rFonts w:hint="eastAsia" w:ascii="仿宋" w:hAnsi="仿宋" w:eastAsia="仿宋" w:cs="Cambria"/>
                <w:bCs/>
                <w:szCs w:val="21"/>
              </w:rPr>
              <w:t>%，组合杠杆率100%-1</w:t>
            </w:r>
            <w:r>
              <w:rPr>
                <w:rFonts w:hint="eastAsia" w:ascii="仿宋" w:hAnsi="仿宋" w:eastAsia="仿宋" w:cs="Cambria"/>
                <w:bCs/>
                <w:szCs w:val="21"/>
                <w:lang w:val="en-US" w:eastAsia="zh-CN"/>
              </w:rPr>
              <w:t>4</w:t>
            </w:r>
            <w:r>
              <w:rPr>
                <w:rFonts w:hint="eastAsia" w:ascii="仿宋" w:hAnsi="仿宋" w:eastAsia="仿宋" w:cs="Cambria"/>
                <w:bCs/>
                <w:szCs w:val="21"/>
              </w:rPr>
              <w:t>0%为例，参考持有到期为目的的目标债券到期收益率、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w:t>
            </w:r>
            <w:r>
              <w:rPr>
                <w:rFonts w:ascii="仿宋" w:hAnsi="仿宋" w:eastAsia="仿宋"/>
                <w:bCs/>
                <w:szCs w:val="21"/>
              </w:rPr>
              <w:t>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w:t>
            </w:r>
            <w:r>
              <w:rPr>
                <w:rFonts w:ascii="仿宋" w:hAnsi="仿宋" w:eastAsia="仿宋"/>
                <w:bCs/>
                <w:szCs w:val="21"/>
              </w:rPr>
              <w:t>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753</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1</w:t>
            </w:r>
            <w:r>
              <w:rPr>
                <w:rFonts w:hint="eastAsia" w:ascii="仿宋" w:hAnsi="仿宋" w:eastAsia="仿宋"/>
                <w:bCs/>
                <w:szCs w:val="21"/>
              </w:rPr>
              <w:t>0亿元，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5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cs="Cambria"/>
                <w:b/>
                <w:szCs w:val="21"/>
              </w:rPr>
              <w:t>A份额：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5</w:t>
            </w:r>
            <w:r>
              <w:rPr>
                <w:rFonts w:hint="eastAsia" w:ascii="仿宋" w:hAnsi="仿宋" w:eastAsia="仿宋"/>
                <w:b/>
                <w:szCs w:val="21"/>
              </w:rPr>
              <w:t>%/年，以前一日资产净值为基数，每日计提。</w:t>
            </w:r>
          </w:p>
          <w:p>
            <w:pPr>
              <w:adjustRightInd w:val="0"/>
              <w:snapToGrid w:val="0"/>
              <w:spacing w:line="300" w:lineRule="exact"/>
              <w:ind w:firstLine="420" w:firstLineChars="0"/>
              <w:jc w:val="left"/>
              <w:rPr>
                <w:rFonts w:hint="eastAsia"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5</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b/>
                <w:szCs w:val="21"/>
                <w:lang w:val="en-US" w:eastAsia="zh-CN"/>
              </w:rPr>
              <w:t>4.00</w:t>
            </w:r>
            <w:r>
              <w:rPr>
                <w:rFonts w:ascii="仿宋" w:hAnsi="仿宋" w:eastAsia="仿宋"/>
                <w:b/>
                <w:szCs w:val="21"/>
              </w:rPr>
              <w:t>%</w:t>
            </w:r>
            <w:r>
              <w:rPr>
                <w:rFonts w:hint="eastAsia" w:ascii="仿宋" w:hAnsi="仿宋" w:eastAsia="仿宋" w:cs="Cambria"/>
                <w:b/>
                <w:szCs w:val="21"/>
              </w:rPr>
              <w:t>（年化）；B份额超额管理费计提基准为</w:t>
            </w:r>
            <w:r>
              <w:rPr>
                <w:rFonts w:ascii="仿宋" w:hAnsi="仿宋" w:eastAsia="仿宋" w:cs="Cambria"/>
                <w:b/>
                <w:szCs w:val="21"/>
              </w:rPr>
              <w:t>3.</w:t>
            </w:r>
            <w:r>
              <w:rPr>
                <w:rFonts w:hint="eastAsia" w:ascii="仿宋" w:hAnsi="仿宋" w:eastAsia="仿宋" w:cs="Cambria"/>
                <w:b/>
                <w:szCs w:val="21"/>
                <w:lang w:val="en-US" w:eastAsia="zh-CN"/>
              </w:rPr>
              <w:t>85</w:t>
            </w:r>
            <w:r>
              <w:rPr>
                <w:rFonts w:ascii="仿宋" w:hAnsi="仿宋" w:eastAsia="仿宋" w:cs="Cambria"/>
                <w:b/>
                <w:szCs w:val="21"/>
              </w:rPr>
              <w:t>%</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2" w:firstLineChars="20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20"/>
        <w:contextualSpacing/>
        <w:rPr>
          <w:rFonts w:ascii="仿宋" w:hAnsi="仿宋" w:eastAsia="仿宋" w:cs="宋体"/>
          <w:b/>
          <w:bCs/>
          <w:color w:val="000000"/>
          <w:kern w:val="0"/>
          <w:sz w:val="24"/>
        </w:rPr>
      </w:pPr>
      <w:r>
        <w:rPr>
          <w:rFonts w:hint="eastAsia" w:ascii="仿宋" w:hAnsi="仿宋" w:eastAsia="仿宋" w:cs="宋体"/>
          <w:color w:val="000000"/>
          <w:kern w:val="0"/>
          <w:sz w:val="24"/>
        </w:rPr>
        <w:t>本理财产品投资</w:t>
      </w:r>
      <w:r>
        <w:rPr>
          <w:rFonts w:ascii="仿宋" w:hAnsi="仿宋" w:eastAsia="仿宋" w:cs="宋体"/>
          <w:color w:val="000000"/>
          <w:kern w:val="0"/>
          <w:sz w:val="24"/>
        </w:rPr>
        <w:t>债券类资产时，</w:t>
      </w:r>
      <w:r>
        <w:rPr>
          <w:rFonts w:hint="eastAsia" w:ascii="仿宋" w:hAnsi="仿宋" w:eastAsia="仿宋" w:cs="宋体"/>
          <w:color w:val="000000"/>
          <w:kern w:val="0"/>
          <w:sz w:val="24"/>
        </w:rPr>
        <w:t>采用买入并持有到期的</w:t>
      </w:r>
      <w:r>
        <w:rPr>
          <w:rFonts w:ascii="仿宋" w:hAnsi="仿宋" w:eastAsia="仿宋" w:cs="宋体"/>
          <w:color w:val="000000"/>
          <w:kern w:val="0"/>
          <w:sz w:val="24"/>
        </w:rPr>
        <w:t>投资</w:t>
      </w:r>
      <w:r>
        <w:rPr>
          <w:rFonts w:hint="eastAsia" w:ascii="仿宋" w:hAnsi="仿宋" w:eastAsia="仿宋" w:cs="宋体"/>
          <w:color w:val="000000"/>
          <w:kern w:val="0"/>
          <w:sz w:val="24"/>
        </w:rPr>
        <w:t>策略，所投的债券</w:t>
      </w:r>
      <w:r>
        <w:rPr>
          <w:rFonts w:ascii="仿宋" w:hAnsi="仿宋" w:eastAsia="仿宋" w:cs="宋体"/>
          <w:color w:val="000000"/>
          <w:kern w:val="0"/>
          <w:sz w:val="24"/>
        </w:rPr>
        <w:t>类</w:t>
      </w:r>
      <w:r>
        <w:rPr>
          <w:rFonts w:hint="eastAsia" w:ascii="仿宋" w:hAnsi="仿宋" w:eastAsia="仿宋" w:cs="宋体"/>
          <w:color w:val="000000"/>
          <w:kern w:val="0"/>
          <w:sz w:val="24"/>
        </w:rPr>
        <w:t>资产的到期日（或回售日）不晚于理财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到期日。投资含回售权的债券时，将在投资该债券前，确定行使回售权或持有至到期的时间；债券到期日晚于理财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到期日的，将在</w:t>
      </w:r>
      <w:r>
        <w:rPr>
          <w:rFonts w:ascii="仿宋" w:hAnsi="仿宋" w:eastAsia="仿宋" w:cs="宋体"/>
          <w:color w:val="000000"/>
          <w:kern w:val="0"/>
          <w:sz w:val="24"/>
        </w:rPr>
        <w:t>理财产品到期日前</w:t>
      </w:r>
      <w:r>
        <w:rPr>
          <w:rFonts w:hint="eastAsia" w:ascii="仿宋" w:hAnsi="仿宋" w:eastAsia="仿宋" w:cs="宋体"/>
          <w:color w:val="000000"/>
          <w:kern w:val="0"/>
          <w:sz w:val="24"/>
        </w:rPr>
        <w:t>行使回售权。极端情况下，如遇到债券违约、信用评级下降等信用事件，本理财</w:t>
      </w:r>
      <w:r>
        <w:rPr>
          <w:rFonts w:ascii="仿宋" w:hAnsi="仿宋" w:eastAsia="仿宋" w:cs="宋体"/>
          <w:color w:val="000000"/>
          <w:kern w:val="0"/>
          <w:sz w:val="24"/>
        </w:rPr>
        <w:t>产品</w:t>
      </w:r>
      <w:r>
        <w:rPr>
          <w:rFonts w:hint="eastAsia" w:ascii="仿宋" w:hAnsi="仿宋" w:eastAsia="仿宋" w:cs="宋体"/>
          <w:color w:val="000000"/>
          <w:kern w:val="0"/>
          <w:sz w:val="24"/>
        </w:rPr>
        <w:t>可以提前卖出相应的债券类资产。</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 xml:space="preserve"> </w:t>
      </w:r>
      <w:r>
        <w:rPr>
          <w:rFonts w:hint="eastAsia" w:ascii="仿宋" w:hAnsi="仿宋" w:eastAsia="仿宋"/>
          <w:color w:val="auto"/>
        </w:rPr>
        <w:t>债券</w:t>
      </w:r>
      <w:r>
        <w:rPr>
          <w:rFonts w:ascii="仿宋" w:hAnsi="仿宋" w:eastAsia="仿宋"/>
          <w:color w:val="auto"/>
        </w:rPr>
        <w:t>类资产</w:t>
      </w:r>
      <w:r>
        <w:rPr>
          <w:rFonts w:hint="eastAsia" w:ascii="仿宋" w:hAnsi="仿宋" w:eastAsia="仿宋"/>
          <w:color w:val="auto"/>
        </w:rPr>
        <w:t>估值采用摊余成本法，即估值对象以买入成本列示，按票面利率或协议利率并考虑其买入时的溢价与折价，在其剩余存续期内按照实际利率法进行摊销，确认利息收入并计提减值准备。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2</w:t>
      </w:r>
      <w:r>
        <w:rPr>
          <w:rFonts w:hint="eastAsia" w:ascii="仿宋" w:hAnsi="仿宋" w:eastAsia="仿宋"/>
          <w:color w:val="auto"/>
        </w:rPr>
        <w:t>.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3</w:t>
      </w:r>
      <w:r>
        <w:rPr>
          <w:rFonts w:hint="eastAsia" w:ascii="仿宋" w:hAnsi="仿宋" w:eastAsia="仿宋"/>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4</w:t>
      </w:r>
      <w:r>
        <w:rPr>
          <w:rFonts w:hint="eastAsia" w:ascii="仿宋" w:hAnsi="仿宋" w:eastAsia="仿宋"/>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5</w:t>
      </w:r>
      <w:r>
        <w:rPr>
          <w:rFonts w:hint="eastAsia" w:ascii="仿宋" w:hAnsi="仿宋" w:eastAsia="仿宋"/>
          <w:color w:val="auto"/>
        </w:rPr>
        <w:t>.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6</w:t>
      </w:r>
      <w:r>
        <w:rPr>
          <w:rFonts w:hint="eastAsia" w:ascii="仿宋" w:hAnsi="仿宋" w:eastAsia="仿宋"/>
          <w:color w:val="auto"/>
        </w:rPr>
        <w:t>.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7</w:t>
      </w:r>
      <w:r>
        <w:rPr>
          <w:rFonts w:hint="eastAsia" w:ascii="仿宋" w:hAnsi="仿宋" w:eastAsia="仿宋"/>
          <w:color w:val="auto"/>
        </w:rPr>
        <w:t>.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8</w:t>
      </w:r>
      <w:r>
        <w:rPr>
          <w:rFonts w:hint="eastAsia" w:ascii="仿宋" w:hAnsi="仿宋" w:eastAsia="仿宋"/>
          <w:color w:val="auto"/>
        </w:rPr>
        <w:t>.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9</w:t>
      </w:r>
      <w:r>
        <w:rPr>
          <w:rFonts w:hint="eastAsia" w:ascii="仿宋" w:hAnsi="仿宋" w:eastAsia="仿宋"/>
          <w:color w:val="auto"/>
        </w:rPr>
        <w:t>.</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0</w:t>
      </w:r>
      <w:r>
        <w:rPr>
          <w:rFonts w:hint="eastAsia" w:ascii="仿宋" w:hAnsi="仿宋" w:eastAsia="仿宋"/>
          <w:color w:val="auto"/>
        </w:rPr>
        <w:t>.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1</w:t>
      </w:r>
      <w:r>
        <w:rPr>
          <w:rFonts w:hint="eastAsia" w:ascii="仿宋" w:hAnsi="仿宋" w:eastAsia="仿宋"/>
          <w:color w:val="auto"/>
        </w:rPr>
        <w:t>.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2</w:t>
      </w:r>
      <w:r>
        <w:rPr>
          <w:rFonts w:hint="eastAsia" w:ascii="仿宋" w:hAnsi="仿宋" w:eastAsia="仿宋"/>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kern w:val="0"/>
          <w:sz w:val="24"/>
          <w:lang w:eastAsia="zh-CN"/>
        </w:rPr>
        <w:t>、</w:t>
      </w:r>
      <w:r>
        <w:rPr>
          <w:rFonts w:hint="eastAsia" w:ascii="黑体" w:hAnsi="黑体" w:eastAsia="黑体" w:cs="黑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日期：     年     月    日</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A4C7B"/>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E1255"/>
    <w:rsid w:val="002F6B80"/>
    <w:rsid w:val="00305047"/>
    <w:rsid w:val="00316AFC"/>
    <w:rsid w:val="003243A1"/>
    <w:rsid w:val="003330B3"/>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6350"/>
    <w:rsid w:val="0051737C"/>
    <w:rsid w:val="005228EC"/>
    <w:rsid w:val="0053489D"/>
    <w:rsid w:val="00541B21"/>
    <w:rsid w:val="00555842"/>
    <w:rsid w:val="005622E8"/>
    <w:rsid w:val="0058195A"/>
    <w:rsid w:val="00587F99"/>
    <w:rsid w:val="005902F0"/>
    <w:rsid w:val="005A1AD3"/>
    <w:rsid w:val="005B0C42"/>
    <w:rsid w:val="005B5241"/>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3145E"/>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558E7"/>
    <w:rsid w:val="00864D39"/>
    <w:rsid w:val="0087356D"/>
    <w:rsid w:val="00881449"/>
    <w:rsid w:val="00881AFC"/>
    <w:rsid w:val="00884902"/>
    <w:rsid w:val="00891BE8"/>
    <w:rsid w:val="008A758D"/>
    <w:rsid w:val="008C587B"/>
    <w:rsid w:val="008C7FC7"/>
    <w:rsid w:val="008D32C9"/>
    <w:rsid w:val="008D4672"/>
    <w:rsid w:val="008E0E7F"/>
    <w:rsid w:val="008E7C57"/>
    <w:rsid w:val="00904F66"/>
    <w:rsid w:val="0091544A"/>
    <w:rsid w:val="0092398B"/>
    <w:rsid w:val="00926B88"/>
    <w:rsid w:val="00930CE3"/>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75239"/>
    <w:rsid w:val="00B835AA"/>
    <w:rsid w:val="00B86087"/>
    <w:rsid w:val="00B90CDB"/>
    <w:rsid w:val="00B960A6"/>
    <w:rsid w:val="00B97A5C"/>
    <w:rsid w:val="00BE486A"/>
    <w:rsid w:val="00C2501F"/>
    <w:rsid w:val="00C26621"/>
    <w:rsid w:val="00C26FC3"/>
    <w:rsid w:val="00C34C70"/>
    <w:rsid w:val="00C56AC7"/>
    <w:rsid w:val="00C61013"/>
    <w:rsid w:val="00C7590C"/>
    <w:rsid w:val="00CA6243"/>
    <w:rsid w:val="00CB07A0"/>
    <w:rsid w:val="00CB300C"/>
    <w:rsid w:val="00CC6613"/>
    <w:rsid w:val="00CD1AC8"/>
    <w:rsid w:val="00D03E60"/>
    <w:rsid w:val="00D06EC1"/>
    <w:rsid w:val="00D07C3B"/>
    <w:rsid w:val="00D20E48"/>
    <w:rsid w:val="00D455C6"/>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A7C04"/>
    <w:rsid w:val="00EC1941"/>
    <w:rsid w:val="00ED51B9"/>
    <w:rsid w:val="00ED5CA8"/>
    <w:rsid w:val="00EE0EFC"/>
    <w:rsid w:val="00EE4B28"/>
    <w:rsid w:val="00EE5ED9"/>
    <w:rsid w:val="00F02D76"/>
    <w:rsid w:val="00F045C3"/>
    <w:rsid w:val="00F05127"/>
    <w:rsid w:val="00F20459"/>
    <w:rsid w:val="00F208BA"/>
    <w:rsid w:val="00F512E9"/>
    <w:rsid w:val="00F54606"/>
    <w:rsid w:val="00F67A6A"/>
    <w:rsid w:val="00F67A9C"/>
    <w:rsid w:val="00F72DB1"/>
    <w:rsid w:val="00F77DC9"/>
    <w:rsid w:val="00F82368"/>
    <w:rsid w:val="00FB10EC"/>
    <w:rsid w:val="00FC0983"/>
    <w:rsid w:val="00FC21F8"/>
    <w:rsid w:val="00FC6689"/>
    <w:rsid w:val="00FC72F2"/>
    <w:rsid w:val="00FE046D"/>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B50330"/>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331185"/>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450BD7"/>
    <w:rsid w:val="1EC329A4"/>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4EA6E03"/>
    <w:rsid w:val="252E26F1"/>
    <w:rsid w:val="25C3267A"/>
    <w:rsid w:val="25D568B4"/>
    <w:rsid w:val="25F33B9E"/>
    <w:rsid w:val="260C731E"/>
    <w:rsid w:val="26103F21"/>
    <w:rsid w:val="27C604DA"/>
    <w:rsid w:val="27EA63D1"/>
    <w:rsid w:val="27F75602"/>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330AAB"/>
    <w:rsid w:val="326170B4"/>
    <w:rsid w:val="328F3B54"/>
    <w:rsid w:val="329A11A0"/>
    <w:rsid w:val="32FF7EB7"/>
    <w:rsid w:val="33424079"/>
    <w:rsid w:val="34126396"/>
    <w:rsid w:val="345E593B"/>
    <w:rsid w:val="34605A84"/>
    <w:rsid w:val="346C230B"/>
    <w:rsid w:val="35034F52"/>
    <w:rsid w:val="352C602C"/>
    <w:rsid w:val="35B16527"/>
    <w:rsid w:val="360B6477"/>
    <w:rsid w:val="36774E48"/>
    <w:rsid w:val="36B76A85"/>
    <w:rsid w:val="36B82ADE"/>
    <w:rsid w:val="376879F0"/>
    <w:rsid w:val="378F057D"/>
    <w:rsid w:val="37EC4B4C"/>
    <w:rsid w:val="387B665C"/>
    <w:rsid w:val="39690814"/>
    <w:rsid w:val="39951034"/>
    <w:rsid w:val="39B76C90"/>
    <w:rsid w:val="39C37A55"/>
    <w:rsid w:val="39C53B44"/>
    <w:rsid w:val="39EF39C3"/>
    <w:rsid w:val="3A021304"/>
    <w:rsid w:val="3A23092B"/>
    <w:rsid w:val="3A35598B"/>
    <w:rsid w:val="3A595F4B"/>
    <w:rsid w:val="3A9D0C11"/>
    <w:rsid w:val="3B4C73CF"/>
    <w:rsid w:val="3BC55932"/>
    <w:rsid w:val="3C7826C2"/>
    <w:rsid w:val="3C8F2051"/>
    <w:rsid w:val="3CD87A38"/>
    <w:rsid w:val="3CF01736"/>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0EA032E"/>
    <w:rsid w:val="41012626"/>
    <w:rsid w:val="415249F8"/>
    <w:rsid w:val="417575F2"/>
    <w:rsid w:val="41BD7655"/>
    <w:rsid w:val="41CC7DB7"/>
    <w:rsid w:val="42CD30A6"/>
    <w:rsid w:val="42F60353"/>
    <w:rsid w:val="438556A7"/>
    <w:rsid w:val="43A6228A"/>
    <w:rsid w:val="44256CD2"/>
    <w:rsid w:val="449B7167"/>
    <w:rsid w:val="44CC2C77"/>
    <w:rsid w:val="4524487F"/>
    <w:rsid w:val="4594149D"/>
    <w:rsid w:val="45CC078F"/>
    <w:rsid w:val="466B6F06"/>
    <w:rsid w:val="46860155"/>
    <w:rsid w:val="476049FD"/>
    <w:rsid w:val="47802A85"/>
    <w:rsid w:val="47E65D23"/>
    <w:rsid w:val="47F6480D"/>
    <w:rsid w:val="4801691C"/>
    <w:rsid w:val="48683A8E"/>
    <w:rsid w:val="487C60FD"/>
    <w:rsid w:val="489E098C"/>
    <w:rsid w:val="48B61CC6"/>
    <w:rsid w:val="48E87129"/>
    <w:rsid w:val="492A5B50"/>
    <w:rsid w:val="49321AAF"/>
    <w:rsid w:val="493A681C"/>
    <w:rsid w:val="493C2E02"/>
    <w:rsid w:val="494D579F"/>
    <w:rsid w:val="498C1FB1"/>
    <w:rsid w:val="4A255416"/>
    <w:rsid w:val="4A295537"/>
    <w:rsid w:val="4A66296F"/>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500C5A60"/>
    <w:rsid w:val="50461117"/>
    <w:rsid w:val="509A5F14"/>
    <w:rsid w:val="51954E8A"/>
    <w:rsid w:val="519B5496"/>
    <w:rsid w:val="52667895"/>
    <w:rsid w:val="52900A5B"/>
    <w:rsid w:val="52B20439"/>
    <w:rsid w:val="5337488A"/>
    <w:rsid w:val="53735224"/>
    <w:rsid w:val="537D24F6"/>
    <w:rsid w:val="543C05E0"/>
    <w:rsid w:val="54B9651A"/>
    <w:rsid w:val="54F9389F"/>
    <w:rsid w:val="55222910"/>
    <w:rsid w:val="552769D7"/>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41650D"/>
    <w:rsid w:val="5A7852B1"/>
    <w:rsid w:val="5AA97C90"/>
    <w:rsid w:val="5AE4319D"/>
    <w:rsid w:val="5C7E5C8C"/>
    <w:rsid w:val="5CE90207"/>
    <w:rsid w:val="5D875E55"/>
    <w:rsid w:val="5E0A32FF"/>
    <w:rsid w:val="5E3B759B"/>
    <w:rsid w:val="5E501568"/>
    <w:rsid w:val="5E50611E"/>
    <w:rsid w:val="5EB138AE"/>
    <w:rsid w:val="5EB53035"/>
    <w:rsid w:val="5ED23CC7"/>
    <w:rsid w:val="5EE6353D"/>
    <w:rsid w:val="5F0310B7"/>
    <w:rsid w:val="5F0C287E"/>
    <w:rsid w:val="5F1655AE"/>
    <w:rsid w:val="5F5952B0"/>
    <w:rsid w:val="5F6D23F7"/>
    <w:rsid w:val="602E28A2"/>
    <w:rsid w:val="60C0423D"/>
    <w:rsid w:val="60E7450D"/>
    <w:rsid w:val="6166406C"/>
    <w:rsid w:val="618F3AF2"/>
    <w:rsid w:val="61DA68DC"/>
    <w:rsid w:val="622708C6"/>
    <w:rsid w:val="62460A47"/>
    <w:rsid w:val="63554C8E"/>
    <w:rsid w:val="63890B77"/>
    <w:rsid w:val="63970830"/>
    <w:rsid w:val="639D1EC4"/>
    <w:rsid w:val="63A13700"/>
    <w:rsid w:val="63DA03E2"/>
    <w:rsid w:val="641F1BC7"/>
    <w:rsid w:val="64541B77"/>
    <w:rsid w:val="64667487"/>
    <w:rsid w:val="64E9282A"/>
    <w:rsid w:val="65C63D9B"/>
    <w:rsid w:val="66103AAA"/>
    <w:rsid w:val="66147E84"/>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D90E21"/>
    <w:rsid w:val="6DE0162F"/>
    <w:rsid w:val="6DF14BEF"/>
    <w:rsid w:val="6DFA3383"/>
    <w:rsid w:val="6E1A49C5"/>
    <w:rsid w:val="6E254EA7"/>
    <w:rsid w:val="6E4B2AEB"/>
    <w:rsid w:val="6EBB30B7"/>
    <w:rsid w:val="6F786BDA"/>
    <w:rsid w:val="701521E8"/>
    <w:rsid w:val="70851CBD"/>
    <w:rsid w:val="709573C6"/>
    <w:rsid w:val="709E2354"/>
    <w:rsid w:val="70E70772"/>
    <w:rsid w:val="71900429"/>
    <w:rsid w:val="719027A5"/>
    <w:rsid w:val="71C9496E"/>
    <w:rsid w:val="71EE76F7"/>
    <w:rsid w:val="720B04A4"/>
    <w:rsid w:val="725F0CAE"/>
    <w:rsid w:val="72981180"/>
    <w:rsid w:val="729C09F9"/>
    <w:rsid w:val="73001A15"/>
    <w:rsid w:val="73155C46"/>
    <w:rsid w:val="7366194C"/>
    <w:rsid w:val="74062834"/>
    <w:rsid w:val="740D552E"/>
    <w:rsid w:val="7411481B"/>
    <w:rsid w:val="74136087"/>
    <w:rsid w:val="7443680B"/>
    <w:rsid w:val="74A805D6"/>
    <w:rsid w:val="74A870B6"/>
    <w:rsid w:val="74EC6D1E"/>
    <w:rsid w:val="74FA0674"/>
    <w:rsid w:val="74FA331C"/>
    <w:rsid w:val="754F1383"/>
    <w:rsid w:val="75DC198B"/>
    <w:rsid w:val="762A07F6"/>
    <w:rsid w:val="764A2B58"/>
    <w:rsid w:val="76661B90"/>
    <w:rsid w:val="77731DCC"/>
    <w:rsid w:val="77B301A9"/>
    <w:rsid w:val="77BE7190"/>
    <w:rsid w:val="77D83AB0"/>
    <w:rsid w:val="77F43C8B"/>
    <w:rsid w:val="77FA47E4"/>
    <w:rsid w:val="78F759E0"/>
    <w:rsid w:val="78FB1E09"/>
    <w:rsid w:val="79802062"/>
    <w:rsid w:val="798A6B15"/>
    <w:rsid w:val="79BB4445"/>
    <w:rsid w:val="79CB33E9"/>
    <w:rsid w:val="79CC1086"/>
    <w:rsid w:val="79EF28EF"/>
    <w:rsid w:val="7A0E66B3"/>
    <w:rsid w:val="7A300713"/>
    <w:rsid w:val="7A3B7268"/>
    <w:rsid w:val="7A5D1076"/>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2263</Words>
  <Characters>12905</Characters>
  <Lines>107</Lines>
  <Paragraphs>30</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2023-03-16T07:08:00Z</dcterms:created>
  <dc:creator>ylh</dc:creator>
  <cp:keywords>2303</cp:keywords>
  <cp:lastModifiedBy>RORO</cp:lastModifiedBy>
  <cp:lastPrinted>2021-07-21T07:06:00Z</cp:lastPrinted>
  <dcterms:modified xsi:type="dcterms:W3CDTF">2023-07-04T01:42:58Z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